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-756285</wp:posOffset>
                </wp:positionH>
                <wp:positionV relativeFrom="margin">
                  <wp:posOffset>622935</wp:posOffset>
                </wp:positionV>
                <wp:extent cx="6838950" cy="4448175"/>
                <wp:effectExtent l="19050" t="0" r="0" b="0"/>
                <wp:wrapSquare wrapText="bothSides"/>
                <wp:docPr id="1" name="Рисунок 1" descr="MM_shadow-people-illu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MM_shadow-people-illus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6838950" cy="4448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251659264;o:allowoverlap:true;o:allowincell:true;mso-position-horizontal-relative:margin;margin-left:-59.55pt;mso-position-horizontal:absolute;mso-position-vertical-relative:margin;margin-top:49.05pt;mso-position-vertical:absolute;width:538.50pt;height:350.25pt;mso-wrap-distance-left:9.00pt;mso-wrap-distance-top:0.00pt;mso-wrap-distance-right:9.00pt;mso-wrap-distance-bottom:0.00pt;" stroked="f" strokeweight="0.75pt">
                <v:path textboxrect="0,0,0,0"/>
                <w10:wrap type="square"/>
                <v:imagedata r:id="rId13" o:title=""/>
              </v:shape>
            </w:pict>
          </mc:Fallback>
        </mc:AlternateConten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ИНФОРМАЦИОННЫЙ ВЫПУСК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«Об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оказании услуг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в сфере государственного кадастрового учета, государственной регистрации прав и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  <w:r>
        <w:rPr>
          <w:rFonts w:ascii="Times New Roman" w:hAnsi="Times New Roman" w:cs="Times New Roman"/>
          <w:b/>
          <w:color w:val="000000"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предоставления сведений из ЕГРН</w:t>
      </w:r>
      <w:r>
        <w:rPr>
          <w:rFonts w:ascii="Times New Roman" w:hAnsi="Times New Roman" w:cs="Times New Roman"/>
          <w:b/>
          <w:sz w:val="28"/>
          <w:szCs w:val="28"/>
        </w:rPr>
        <w:t xml:space="preserve">»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ОТДЕЛ ПРАВОВОГО ОБЕСПЕЧЕНИЯ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УПРАВЛЕНИЯ РОСРЕЕСТРА ПО НОВОСИБИРСКОЙ ОБЛАСТИ</w:t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 w:clear="all"/>
      </w:r>
      <w:r>
        <w:rPr>
          <w:rFonts w:ascii="Times New Roman" w:hAnsi="Times New Roman" w:cs="Times New Roman"/>
          <w:b/>
          <w:sz w:val="28"/>
          <w:szCs w:val="28"/>
        </w:rPr>
      </w:r>
      <w:r>
        <w:rPr>
          <w:rFonts w:ascii="Times New Roman" w:hAnsi="Times New Roman" w:cs="Times New Roman"/>
          <w:b/>
          <w:sz w:val="28"/>
          <w:szCs w:val="28"/>
        </w:rPr>
      </w:r>
    </w:p>
    <w:p>
      <w:pPr>
        <w:pStyle w:val="962"/>
        <w:ind w:firstLine="709"/>
        <w:jc w:val="center"/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Новости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закон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одательства</w:t>
      </w:r>
      <w:r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i/>
          <w:sz w:val="28"/>
          <w:szCs w:val="28"/>
          <w:highlight w:val="none"/>
        </w:rPr>
      </w:r>
    </w:p>
    <w:p>
      <w:pPr>
        <w:ind w:left="0" w:right="0" w:firstLine="708"/>
        <w:jc w:val="both"/>
        <w:spacing w:before="0" w:after="0" w:line="288" w:lineRule="atLeast"/>
        <w:rPr>
          <w:b/>
          <w:bCs/>
          <w:color w:val="000000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b/>
          <w:bCs/>
          <w:color w:val="000000"/>
        </w:rPr>
      </w:r>
      <w:r>
        <w:rPr>
          <w:b/>
          <w:bCs/>
          <w:color w:val="000000"/>
          <w14:ligatures w14:val="none"/>
        </w:rPr>
      </w:r>
      <w:r>
        <w:rPr>
          <w:b/>
          <w:bCs/>
          <w:color w:val="000000"/>
          <w14:ligatures w14:val="none"/>
        </w:rPr>
      </w:r>
    </w:p>
    <w:p>
      <w:pPr>
        <w:ind w:left="0" w:right="0" w:firstLine="708"/>
        <w:jc w:val="both"/>
        <w:spacing w:before="0" w:after="0" w:line="288" w:lineRule="atLeast"/>
        <w:rPr>
          <w:b/>
          <w:bCs/>
          <w:color w:val="000000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000000"/>
        </w:rPr>
        <w:t xml:space="preserve">1.</w:t>
      </w:r>
      <w:r>
        <w:rPr>
          <w:b/>
          <w:bCs/>
          <w:color w:val="000000"/>
        </w:rPr>
        <w:t xml:space="preserve"> </w:t>
      </w:r>
      <w:r>
        <w:rPr>
          <w:b/>
          <w:bCs/>
          <w:color w:val="000000"/>
        </w:rPr>
      </w:r>
      <w:hyperlink r:id="rId14" w:tooltip="https://www.consultant.ru/document/cons_doc_LAW_507274/" w:history="1">
        <w:r>
          <w:rPr>
            <w:b/>
            <w:bCs/>
            <w:color w:val="000000"/>
          </w:rPr>
          <w:t xml:space="preserve">Федеральный закон от 07.06.2025 № 133-ФЗ «О внесении изменени</w:t>
        </w:r>
        <w:r>
          <w:rPr>
            <w:b/>
            <w:bCs/>
            <w:color w:val="000000"/>
          </w:rPr>
          <w:t xml:space="preserve">я</w:t>
        </w:r>
        <w:r>
          <w:rPr>
            <w:b/>
            <w:bCs/>
            <w:color w:val="000000"/>
          </w:rPr>
          <w:t xml:space="preserve"> в статью 36.2 Федерального закона «О государственной регистрации недвижимости».</w:t>
        </w:r>
      </w:hyperlink>
      <w:r>
        <w:rPr>
          <w:b/>
          <w:bCs/>
          <w:color w:val="000000"/>
          <w:highlight w:val="none"/>
          <w14:ligatures w14:val="none"/>
        </w:rPr>
      </w:r>
      <w:r>
        <w:rPr>
          <w:b/>
          <w:bCs/>
          <w:color w:val="000000"/>
          <w:highlight w:val="none"/>
          <w14:ligatures w14:val="none"/>
        </w:rPr>
      </w:r>
    </w:p>
    <w:p>
      <w:pPr>
        <w:ind w:left="0" w:right="0" w:firstLine="708"/>
        <w:jc w:val="both"/>
        <w:spacing w:before="0" w:after="0" w:line="288" w:lineRule="atLeast"/>
        <w:rPr>
          <w:b w:val="0"/>
          <w:bCs w:val="0"/>
          <w:color w:val="000000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000000"/>
        </w:rPr>
        <w:t xml:space="preserve">Законом закреплена возможность представления заявления о государственной регистрации прав на недвижимость и прилагаемых к нему документов в форме электронных документов и (или) электронных образов документов, подписанных УКЭП, при условии установления личн</w:t>
      </w:r>
      <w:r>
        <w:rPr>
          <w:b w:val="0"/>
          <w:bCs w:val="0"/>
          <w:color w:val="000000"/>
        </w:rPr>
        <w:t xml:space="preserve">ости правообладателя посредством ГИС «Единая система идентификации и аутентификации физических лиц с использованием биометрических персональных данных» без необходимости внесения специальной отметки о возможности подачи документов с использованием электрон</w:t>
      </w:r>
      <w:r>
        <w:rPr>
          <w:b w:val="0"/>
          <w:bCs w:val="0"/>
          <w:color w:val="000000"/>
        </w:rPr>
        <w:t xml:space="preserve">ной подписи, установленной статьей 36 Федерального закона «О государственной регистр</w:t>
      </w:r>
      <w:r>
        <w:rPr>
          <w:b w:val="0"/>
          <w:bCs w:val="0"/>
          <w:color w:val="000000"/>
        </w:rPr>
        <w:t xml:space="preserve">ации недвижимости».</w:t>
      </w:r>
      <w:r>
        <w:rPr>
          <w:b w:val="0"/>
          <w:bCs w:val="0"/>
          <w:color w:val="000000"/>
          <w14:ligatures w14:val="none"/>
        </w:rPr>
      </w:r>
      <w:r>
        <w:rPr>
          <w:b w:val="0"/>
          <w:bCs w:val="0"/>
          <w:color w:val="000000"/>
          <w14:ligatures w14:val="none"/>
        </w:rPr>
      </w:r>
    </w:p>
    <w:p>
      <w:pPr>
        <w:ind w:left="0" w:right="0" w:firstLine="708"/>
        <w:jc w:val="both"/>
        <w:spacing w:before="0" w:after="0" w:line="288" w:lineRule="atLeast"/>
        <w:rPr>
          <w:b w:val="0"/>
          <w:bCs w:val="0"/>
          <w:color w:val="000000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000000"/>
        </w:rPr>
        <w:t xml:space="preserve">Настоящий Федеральный закон вступает в силу с 1 июля 2026 года.</w:t>
      </w:r>
      <w:r>
        <w:rPr>
          <w:b w:val="0"/>
          <w:bCs w:val="0"/>
          <w:color w:val="000000"/>
          <w14:ligatures w14:val="none"/>
        </w:rPr>
      </w:r>
      <w:r>
        <w:rPr>
          <w:b w:val="0"/>
          <w:bCs w:val="0"/>
          <w:color w:val="000000"/>
          <w14:ligatures w14:val="none"/>
        </w:rPr>
      </w:r>
    </w:p>
    <w:p>
      <w:pPr>
        <w:ind w:left="0" w:right="0" w:firstLine="708"/>
        <w:jc w:val="both"/>
        <w:spacing w:before="0" w:after="0" w:line="288" w:lineRule="atLeast"/>
        <w:rPr>
          <w:b w:val="0"/>
          <w:bCs w:val="0"/>
          <w:color w:val="000000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000000"/>
        </w:rPr>
      </w:r>
      <w:r>
        <w:rPr>
          <w:b w:val="0"/>
          <w:bCs w:val="0"/>
          <w:color w:val="000000"/>
          <w14:ligatures w14:val="none"/>
        </w:rPr>
      </w:r>
      <w:r>
        <w:rPr>
          <w:b w:val="0"/>
          <w:bCs w:val="0"/>
          <w:color w:val="000000"/>
          <w14:ligatures w14:val="none"/>
        </w:rPr>
      </w:r>
    </w:p>
    <w:p>
      <w:pPr>
        <w:contextualSpacing/>
        <w:ind w:firstLine="708"/>
        <w:jc w:val="both"/>
        <w:rPr>
          <w:rFonts w:ascii="Times New Roman" w:hAnsi="Times New Roman" w:eastAsia="Calibri" w:cs="Times New Roman"/>
          <w:b/>
          <w:bCs/>
          <w:color w:val="000000"/>
          <w14:ligatures w14:val="none"/>
        </w:rPr>
      </w:pP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</w:p>
    <w:p>
      <w:pPr>
        <w:contextualSpacing/>
        <w:ind w:firstLine="708"/>
        <w:jc w:val="both"/>
        <w:rPr>
          <w:rFonts w:ascii="Times New Roman" w:hAnsi="Times New Roman" w:eastAsia="Calibri" w:cs="Times New Roman"/>
          <w:b/>
          <w:bCs/>
          <w:color w:val="000000"/>
          <w14:ligatures w14:val="none"/>
        </w:rPr>
      </w:pP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</w:p>
    <w:p>
      <w:pPr>
        <w:contextualSpacing/>
        <w:ind w:firstLine="708"/>
        <w:jc w:val="both"/>
        <w:rPr>
          <w:rFonts w:ascii="Times New Roman" w:hAnsi="Times New Roman" w:eastAsia="Calibri" w:cs="Times New Roman"/>
          <w:b/>
          <w:bCs/>
          <w:color w:val="000000"/>
          <w14:ligatures w14:val="none"/>
        </w:rPr>
      </w:pPr>
      <w:r>
        <w:rPr>
          <w:rFonts w:ascii="Times New Roman" w:hAnsi="Times New Roman" w:eastAsia="Calibri" w:cs="Times New Roman"/>
          <w:b/>
          <w:bCs/>
          <w:color w:val="000000"/>
          <w:sz w:val="28"/>
          <w:szCs w:val="28"/>
          <w:highlight w:val="none"/>
          <w:shd w:val="clear" w:color="ffffff" w:themeColor="background1" w:fill="ffffff" w:themeFill="background1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  <w:r>
        <w:rPr>
          <w:rFonts w:ascii="Times New Roman" w:hAnsi="Times New Roman" w:eastAsia="Calibri" w:cs="Times New Roman"/>
          <w:b/>
          <w:bCs/>
          <w:color w:val="000000"/>
          <w14:ligatures w14:val="none"/>
        </w:rPr>
      </w:r>
    </w:p>
    <w:p>
      <w:pPr>
        <w:contextualSpacing/>
        <w:ind w:firstLine="708"/>
        <w:jc w:val="both"/>
        <w:rPr>
          <w:rFonts w:ascii="Times New Roman" w:hAnsi="Times New Roman" w:eastAsia="Calibri" w:cs="Times New Roman"/>
          <w:b w:val="0"/>
          <w:bCs w:val="0"/>
          <w:color w:val="000000"/>
          <w:sz w:val="28"/>
          <w:szCs w:val="28"/>
          <w:highlight w:val="none"/>
          <w14:ligatures w14:val="none"/>
        </w:rPr>
        <w:sectPr>
          <w:headerReference w:type="default" r:id="rId9"/>
          <w:headerReference w:type="first" r:id="rId10"/>
          <w:footerReference w:type="first" r:id="rId11"/>
          <w:footnotePr/>
          <w:endnotePr/>
          <w:type w:val="continuous"/>
          <w:pgSz w:w="11906" w:h="16838" w:orient="portrait"/>
          <w:pgMar w:top="1134" w:right="850" w:bottom="1134" w:left="1701" w:header="709" w:footer="709" w:gutter="0"/>
          <w:cols w:num="1" w:sep="0" w:space="708" w:equalWidth="1"/>
          <w:docGrid w:linePitch="360"/>
        </w:sectPr>
        <w:suppressLineNumbers w:val="0"/>
      </w:pPr>
      <w:r>
        <w:rPr>
          <w:rFonts w:ascii="Times New Roman" w:hAnsi="Times New Roman" w:eastAsia="Calibri" w:cs="Times New Roman"/>
          <w:b w:val="0"/>
          <w:bCs w:val="0"/>
          <w:color w:val="000000"/>
          <w:sz w:val="28"/>
          <w:szCs w:val="28"/>
          <w:highlight w:val="none"/>
          <w:shd w:val="clear" w:color="ffffff" w:themeColor="background1" w:fill="ffffff" w:themeFill="background1"/>
        </w:rPr>
      </w:r>
      <w:r>
        <w:rPr>
          <w:rFonts w:ascii="Times New Roman" w:hAnsi="Times New Roman" w:eastAsia="Calibri" w:cs="Times New Roman"/>
          <w:b w:val="0"/>
          <w:bCs w:val="0"/>
          <w:color w:val="000000"/>
          <w:sz w:val="28"/>
          <w:szCs w:val="28"/>
          <w:highlight w:val="none"/>
          <w14:ligatures w14:val="none"/>
        </w:rPr>
      </w:r>
      <w:r>
        <w:rPr>
          <w:rFonts w:ascii="Times New Roman" w:hAnsi="Times New Roman" w:eastAsia="Calibri" w:cs="Times New Roman"/>
          <w:b w:val="0"/>
          <w:bCs w:val="0"/>
          <w:color w:val="000000"/>
          <w:sz w:val="28"/>
          <w:szCs w:val="28"/>
          <w:highlight w:val="none"/>
          <w14:ligatures w14:val="none"/>
        </w:rPr>
      </w:r>
    </w:p>
    <w:p>
      <w:pPr>
        <w:pStyle w:val="962"/>
        <w:ind w:left="1069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нформационные письма и разъяснения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в сфере государственного кадастрового учета и (или) государственной регистрации пр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ав, материалы судебной практики</w:t>
      </w:r>
      <w:r>
        <w:rPr>
          <w:rFonts w:ascii="Times New Roman" w:hAnsi="Times New Roman" w:cs="Times New Roman"/>
          <w:b/>
          <w:i/>
          <w:sz w:val="28"/>
          <w:szCs w:val="28"/>
        </w:rPr>
      </w:r>
      <w:r>
        <w:rPr>
          <w:rFonts w:ascii="Times New Roman" w:hAnsi="Times New Roman" w:cs="Times New Roman"/>
          <w:b/>
          <w:i/>
          <w:sz w:val="28"/>
          <w:szCs w:val="28"/>
        </w:rPr>
      </w:r>
    </w:p>
    <w:p>
      <w:pPr>
        <w:pStyle w:val="962"/>
        <w:ind w:left="1069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</w:r>
      <w:r>
        <w:rPr>
          <w:rFonts w:ascii="Times New Roman" w:hAnsi="Times New Roman" w:cs="Times New Roman"/>
          <w:b/>
          <w:i/>
          <w:sz w:val="28"/>
          <w:szCs w:val="28"/>
        </w:rPr>
      </w:r>
      <w:r>
        <w:rPr>
          <w:rFonts w:ascii="Times New Roman" w:hAnsi="Times New Roman" w:cs="Times New Roman"/>
          <w:b/>
          <w:i/>
          <w:sz w:val="28"/>
          <w:szCs w:val="28"/>
        </w:rPr>
      </w:r>
    </w:p>
    <w:p>
      <w:pPr>
        <w:spacing w:line="245" w:lineRule="auto"/>
        <w:rPr>
          <w:b/>
          <w:bCs/>
          <w:highlight w:val="none"/>
          <w14:ligatures w14:val="none"/>
        </w:rPr>
      </w:pPr>
      <w:r>
        <w:rPr>
          <w:rFonts w:eastAsia="Times New Roman"/>
          <w:b/>
          <w:bCs/>
          <w:shd w:val="clear" w:color="auto" w:fill="ffffff"/>
          <w:lang w:eastAsia="ru-RU"/>
        </w:rPr>
        <w:t xml:space="preserve">1</w:t>
      </w:r>
      <w:r>
        <w:rPr>
          <w:rFonts w:eastAsia="Times New Roman"/>
          <w:b/>
          <w:bCs/>
          <w:shd w:val="clear" w:color="auto" w:fill="ffffff"/>
          <w:lang w:eastAsia="ru-RU"/>
        </w:rPr>
        <w:t xml:space="preserve">.</w:t>
      </w:r>
      <w:r>
        <w:rPr>
          <w:b/>
        </w:rPr>
        <w:t xml:space="preserve"> </w:t>
      </w:r>
      <w:r>
        <w:rPr>
          <w:b/>
        </w:rPr>
        <w:t xml:space="preserve">Письмо Росреестра от 29.05.2025 № </w:t>
      </w:r>
      <w:r>
        <w:rPr>
          <w:b/>
        </w:rPr>
        <w:t xml:space="preserve">14-5223-ТГ/25</w:t>
      </w:r>
      <w:r>
        <w:rPr>
          <w:b/>
        </w:rPr>
        <w:t xml:space="preserve"> </w:t>
      </w:r>
      <w:r>
        <w:rPr>
          <w:b/>
        </w:rPr>
        <w:t xml:space="preserve">о направлении копий писем Росреестра и Минфина России по вопросу исчисления суммы государственной пошлины</w:t>
      </w:r>
      <w:r>
        <w:rPr>
          <w:b/>
        </w:rPr>
        <w:t xml:space="preserve">.</w:t>
      </w: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ind w:left="0" w:right="0" w:firstLine="0"/>
        <w:spacing w:line="245" w:lineRule="auto"/>
        <w:rPr>
          <w:b/>
          <w:bCs/>
          <w:highlight w:val="none"/>
          <w14:ligatures w14:val="none"/>
        </w:rPr>
      </w:pPr>
      <w:r>
        <w:rPr>
          <w:b/>
          <w:bCs/>
          <w:highlight w:val="none"/>
          <w14:ligatures w14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301230" cy="7498675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715581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 rot="0" flipH="0" flipV="0">
                          <a:off x="0" y="0"/>
                          <a:ext cx="5301229" cy="74986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17.42pt;height:590.45pt;mso-wrap-distance-left:0.00pt;mso-wrap-distance-top:0.00pt;mso-wrap-distance-right:0.00pt;mso-wrap-distance-bottom:0.00pt;rotation:0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ind w:left="0" w:right="0" w:firstLine="0"/>
        <w:spacing w:line="245" w:lineRule="auto"/>
        <w:rPr>
          <w:b/>
          <w:bCs/>
          <w:highlight w:val="none"/>
          <w14:ligatures w14:val="none"/>
        </w:rPr>
      </w:pPr>
      <w:r>
        <w:rPr>
          <w:b/>
          <w:bCs/>
          <w:highlight w:val="none"/>
          <w14:ligatures w14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8402827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7557327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5940423" cy="8402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67.75pt;height:661.64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ind w:left="0" w:right="0" w:firstLine="0"/>
        <w:spacing w:line="245" w:lineRule="auto"/>
        <w:rPr>
          <w:b/>
          <w:bCs/>
          <w14:ligatures w14:val="none"/>
        </w:rPr>
      </w:pPr>
      <w:r>
        <w:rPr>
          <w:b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8402827"/>
                <wp:effectExtent l="0" t="0" r="0" b="0"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785566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5940423" cy="8402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67.75pt;height:661.64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b/>
          <w:bCs/>
          <w14:ligatures w14:val="none"/>
        </w:rPr>
      </w:r>
      <w:r>
        <w:rPr>
          <w:b/>
          <w:bCs/>
          <w14:ligatures w14:val="none"/>
        </w:rPr>
      </w:r>
    </w:p>
    <w:p>
      <w:pPr>
        <w:ind w:left="0" w:right="0" w:firstLine="0"/>
        <w:spacing w:line="245" w:lineRule="auto"/>
        <w:rPr>
          <w:b/>
          <w:bCs/>
          <w:highlight w:val="none"/>
          <w14:ligatures w14:val="none"/>
        </w:rPr>
      </w:pPr>
      <w:r>
        <w:rPr>
          <w:b/>
          <w:highlight w:val="none"/>
        </w:rPr>
      </w: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spacing w:line="245" w:lineRule="auto"/>
        <w:rPr>
          <w:b/>
          <w:bCs/>
          <w:highlight w:val="none"/>
          <w14:ligatures w14:val="none"/>
        </w:rPr>
      </w:pPr>
      <w:r>
        <w:rPr>
          <w:b/>
          <w:highlight w:val="none"/>
        </w:rPr>
      </w: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ind w:left="0" w:right="0" w:firstLine="0"/>
        <w:spacing w:line="245" w:lineRule="auto"/>
        <w:rPr>
          <w:b/>
          <w:bCs/>
          <w:highlight w:val="none"/>
          <w14:ligatures w14:val="none"/>
        </w:rPr>
      </w:pPr>
      <w:r>
        <w:rPr>
          <w:b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740939" cy="8120651"/>
                <wp:effectExtent l="0" t="0" r="0" b="0"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6770728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 flipH="0" flipV="0">
                          <a:off x="0" y="0"/>
                          <a:ext cx="5740937" cy="81206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52.04pt;height:639.42pt;mso-wrap-distance-left:0.00pt;mso-wrap-distance-top:0.00pt;mso-wrap-distance-right:0.00pt;mso-wrap-distance-bottom:0.00pt;" stroked="false">
                <v:path textboxrect="0,0,0,0"/>
                <v:imagedata r:id="rId18" o:title=""/>
              </v:shape>
            </w:pict>
          </mc:Fallback>
        </mc:AlternateContent>
      </w:r>
      <w:r>
        <w:rPr>
          <w:b/>
          <w:bCs/>
          <w:highlight w:val="none"/>
          <w14:ligatures w14:val="none"/>
        </w:rPr>
      </w:r>
      <w:r>
        <w:rPr>
          <w:b/>
          <w:bCs/>
          <w:highlight w:val="none"/>
          <w14:ligatures w14:val="none"/>
        </w:rPr>
      </w:r>
    </w:p>
    <w:p>
      <w:pPr>
        <w:spacing w:line="245" w:lineRule="auto"/>
        <w:rPr>
          <w:rFonts w:eastAsia="Times New Roman"/>
          <w:b/>
          <w:bCs/>
          <w:highlight w:val="none"/>
          <w:lang w:eastAsia="ru-RU"/>
        </w:rPr>
      </w:pPr>
      <w:r>
        <w:rPr>
          <w:rFonts w:eastAsia="Times New Roman"/>
          <w:b/>
          <w:bCs/>
          <w:highlight w:val="none"/>
          <w:lang w:eastAsia="ru-RU"/>
        </w:rPr>
      </w:r>
      <w:r>
        <w:rPr>
          <w:rFonts w:eastAsia="Times New Roman"/>
          <w:b/>
          <w:bCs/>
          <w:highlight w:val="none"/>
          <w:lang w:eastAsia="ru-RU"/>
        </w:rPr>
      </w:r>
      <w:r>
        <w:rPr>
          <w:rFonts w:eastAsia="Times New Roman"/>
          <w:b/>
          <w:bCs/>
          <w:highlight w:val="none"/>
          <w:lang w:eastAsia="ru-RU"/>
        </w:rPr>
      </w:r>
    </w:p>
    <w:p>
      <w:pPr>
        <w:spacing w:line="245" w:lineRule="auto"/>
        <w:rPr>
          <w:rFonts w:eastAsia="Times New Roman"/>
          <w:b/>
          <w:bCs/>
          <w:highlight w:val="none"/>
          <w:lang w:eastAsia="ru-RU"/>
        </w:rPr>
      </w:pPr>
      <w:r>
        <w:rPr>
          <w:rFonts w:eastAsia="Times New Roman"/>
          <w:b/>
          <w:bCs/>
          <w:highlight w:val="none"/>
          <w:lang w:eastAsia="ru-RU"/>
        </w:rPr>
      </w:r>
      <w:r>
        <w:rPr>
          <w:rFonts w:eastAsia="Times New Roman"/>
          <w:b/>
          <w:bCs/>
          <w:highlight w:val="none"/>
          <w:lang w:eastAsia="ru-RU"/>
        </w:rPr>
      </w:r>
      <w:r>
        <w:rPr>
          <w:rFonts w:eastAsia="Times New Roman"/>
          <w:b/>
          <w:bCs/>
          <w:highlight w:val="none"/>
          <w:lang w:eastAsia="ru-RU"/>
        </w:rPr>
      </w:r>
    </w:p>
    <w:p>
      <w:pPr>
        <w:shd w:val="nil" w:color="00000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shd w:val="nil" w:color="000000"/>
        <w:rPr>
          <w:b/>
          <w:bCs/>
          <w:sz w:val="28"/>
          <w:szCs w:val="28"/>
          <w:highlight w:val="none"/>
        </w:rPr>
        <w:sectPr>
          <w:footnotePr/>
          <w:endnotePr/>
          <w:type w:val="nextPage"/>
          <w:pgSz w:w="11906" w:h="16838" w:orient="portrait"/>
          <w:pgMar w:top="1134" w:right="850" w:bottom="1134" w:left="1701" w:header="709" w:footer="709" w:gutter="0"/>
          <w:cols w:num="1" w:sep="0" w:space="708" w:equalWidth="1"/>
          <w:docGrid w:linePitch="360"/>
        </w:sect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firstLine="708"/>
        <w:jc w:val="both"/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pPr>
      <w:r>
        <w:rPr>
          <w:rStyle w:val="967"/>
          <w:rFonts w:ascii="Times New Roman" w:hAnsi="Times New Roman" w:cs="Times New Roman"/>
          <w:b/>
          <w:i/>
          <w:sz w:val="28"/>
          <w:szCs w:val="28"/>
        </w:rPr>
        <w:t xml:space="preserve">Новости информационных сайтов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Минэкономразвития России</w:t>
      </w:r>
      <w:r>
        <w:rPr>
          <w:rStyle w:val="967"/>
          <w:rFonts w:ascii="Times New Roman" w:hAnsi="Times New Roman" w:cs="Times New Roman"/>
          <w:b/>
          <w:i/>
          <w:sz w:val="28"/>
          <w:szCs w:val="28"/>
        </w:rPr>
        <w:t xml:space="preserve">, Росреестра и Управления Росреестра по Новосибирской области</w:t>
      </w:r>
      <w:r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  <w:r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</w:p>
    <w:p>
      <w:pPr>
        <w:ind w:firstLine="708"/>
        <w:jc w:val="both"/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pPr>
      <w:r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  <w:r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  <w:r>
        <w:rPr>
          <w:rStyle w:val="967"/>
          <w:rFonts w:ascii="Times New Roman" w:hAnsi="Times New Roman" w:cs="Times New Roman"/>
          <w:b/>
          <w:bCs/>
          <w:i/>
          <w:sz w:val="28"/>
          <w:szCs w:val="28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</w:rPr>
        <w:t xml:space="preserve">1.</w:t>
      </w:r>
      <w:r>
        <w:rPr>
          <w:b/>
          <w:bCs/>
          <w:color w:val="292c2f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планирует к 2027 году завершить работу по внесению в ЕГРН административно-территориальных границ.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 планирует к 2027 году завершить работу по внесению в Единый государственный реестр недвижимости (ЕГРН) сведений о границах между субъектами, муниципальных образований и территориальных зон. Об этом сообщил на XXI научном конгрессе «Интерэкспо ГЕО</w:t>
      </w:r>
      <w:r>
        <w:rPr>
          <w:b w:val="0"/>
          <w:bCs w:val="0"/>
          <w:color w:val="292c2f"/>
          <w:highlight w:val="none"/>
          <w14:ligatures w14:val="none"/>
        </w:rPr>
        <w:t xml:space="preserve">-Сибирь 2025» начальник Управления кадастровых работ и землеустройства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Харитов.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XXI Международная выставка и научный конгресс в сфере геопространственных технологий «Интерэкспо ГЕО-Сибирь» прошли в научной столице России - Новосибирске при поддержке Росреестра и полпредства в Сибирском федеральном округе. Темой конгресса впервые стала</w:t>
      </w:r>
      <w:r>
        <w:rPr>
          <w:b w:val="0"/>
          <w:bCs w:val="0"/>
          <w:color w:val="292c2f"/>
          <w:highlight w:val="none"/>
          <w14:ligatures w14:val="none"/>
        </w:rPr>
        <w:t xml:space="preserve"> «Экономика пространственных данных».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Создание полного и точного реестра - основная задача, над которой Росреестр работает с 2020 года. Реализация этого проекта поддержана на самом высоком уровне. От наполнения ЕГРН полными и точными сведениями зависит эффективность и качество предоставления у</w:t>
      </w:r>
      <w:r>
        <w:rPr>
          <w:b w:val="0"/>
          <w:bCs w:val="0"/>
          <w:color w:val="292c2f"/>
          <w:highlight w:val="none"/>
          <w14:ligatures w14:val="none"/>
        </w:rPr>
        <w:t xml:space="preserve">слуг в сфере земли и недвижимости, а также пространственное развитие страны. Цель на 2027 год – завершить работу по внесению в ЕГРН границ между субъектами (сейчас показатель составляет 81,2%), границ муниципальных образований (91,2%) и территориальных зон</w:t>
      </w:r>
      <w:r>
        <w:rPr>
          <w:b w:val="0"/>
          <w:bCs w:val="0"/>
          <w:color w:val="292c2f"/>
          <w:highlight w:val="none"/>
          <w14:ligatures w14:val="none"/>
        </w:rPr>
        <w:t xml:space="preserve"> (60%). По остальным видам границ работа будет завершена к 2030 году. Среди них в том числе границы объектов культурного наследия федерального значения (85%), зон затопления и подтопления (82,5%), особо охраняемых природных территорий (68,2%) и т.д.», -</w:t>
      </w:r>
      <w:r>
        <w:rPr>
          <w:b w:val="0"/>
          <w:bCs w:val="0"/>
          <w:color w:val="292c2f"/>
          <w:highlight w:val="none"/>
          <w14:ligatures w14:val="none"/>
        </w:rPr>
        <w:t xml:space="preserve"> 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Максим Харитов</w:t>
      </w:r>
      <w:r>
        <w:rPr>
          <w:b w:val="0"/>
          <w:bCs w:val="0"/>
          <w:color w:val="292c2f"/>
          <w:highlight w:val="none"/>
          <w14:ligatures w14:val="none"/>
        </w:rPr>
        <w:t xml:space="preserve">, выступая</w:t>
      </w:r>
      <w:r>
        <w:rPr>
          <w:b w:val="0"/>
          <w:bCs w:val="0"/>
          <w:color w:val="292c2f"/>
          <w:highlight w:val="none"/>
          <w14:ligatures w14:val="none"/>
        </w:rPr>
        <w:t xml:space="preserve"> </w:t>
      </w:r>
      <w:r>
        <w:rPr>
          <w:b w:val="0"/>
          <w:bCs w:val="0"/>
          <w:color w:val="292c2f"/>
          <w:highlight w:val="none"/>
          <w14:ligatures w14:val="none"/>
        </w:rPr>
        <w:t xml:space="preserve">на пленарном заседании «Пространственные данные как драйвер развития экономических процессов».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Он отметил, что значимый результат был достигнут в ходе внесения в ЕГРН границ лесничеств. Если в 2023 году этот показатель составлял 55,2%, то по итогам 2024 г</w:t>
      </w:r>
      <w:r>
        <w:rPr>
          <w:b w:val="0"/>
          <w:bCs w:val="0"/>
          <w:color w:val="292c2f"/>
          <w:highlight w:val="none"/>
          <w14:ligatures w14:val="none"/>
        </w:rPr>
        <w:t xml:space="preserve">ода </w:t>
      </w:r>
      <w:r>
        <w:rPr>
          <w:b w:val="0"/>
          <w:bCs w:val="0"/>
          <w:color w:val="292c2f"/>
          <w:highlight w:val="none"/>
          <w14:ligatures w14:val="none"/>
        </w:rPr>
        <w:t xml:space="preserve">—</w:t>
      </w:r>
      <w:r>
        <w:rPr>
          <w:b w:val="0"/>
          <w:bCs w:val="0"/>
          <w:color w:val="292c2f"/>
          <w:highlight w:val="none"/>
          <w14:ligatures w14:val="none"/>
        </w:rPr>
        <w:t xml:space="preserve"> уже 97,5%. Также в 2024 году устранено более 500 тыс. пересечений с объектами реестра границ и верифицированы сведения в отношении более 100 тыс. объектов культурного наследия.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Кроме того, по его словам, к 2030 году планируется завершить работу по внесению в ЕГРН границ земельных участков. Сейчас на территории РФ числится порядка 16 млн (27%) земельных участков без границ. Одним из основных инструментов станет проведение комплекс</w:t>
      </w:r>
      <w:r>
        <w:rPr>
          <w:b w:val="0"/>
          <w:bCs w:val="0"/>
          <w:color w:val="292c2f"/>
          <w:highlight w:val="none"/>
          <w14:ligatures w14:val="none"/>
        </w:rPr>
        <w:t xml:space="preserve">ных кадастровых работ (ККР). Если в 2020 </w:t>
      </w:r>
      <w:r>
        <w:rPr>
          <w:b w:val="0"/>
          <w:bCs w:val="0"/>
          <w:color w:val="292c2f"/>
          <w:highlight w:val="none"/>
          <w14:ligatures w14:val="none"/>
        </w:rPr>
        <w:t xml:space="preserve">—</w:t>
      </w:r>
      <w:r>
        <w:rPr>
          <w:b w:val="0"/>
          <w:bCs w:val="0"/>
          <w:color w:val="292c2f"/>
          <w:highlight w:val="none"/>
          <w14:ligatures w14:val="none"/>
        </w:rPr>
        <w:t xml:space="preserve"> 2024 гг. ККР были выполнены в отношении 4,2 млн объектов, то только за 2025 год благодаря выделенному финансированию планируется отработать более 4 млн объектов, а в 2026 году </w:t>
      </w:r>
      <w:r>
        <w:rPr>
          <w:b w:val="0"/>
          <w:bCs w:val="0"/>
          <w:color w:val="292c2f"/>
          <w:highlight w:val="none"/>
          <w14:ligatures w14:val="none"/>
        </w:rPr>
        <w:t xml:space="preserve">—</w:t>
      </w:r>
      <w:r>
        <w:rPr>
          <w:b w:val="0"/>
          <w:bCs w:val="0"/>
          <w:color w:val="292c2f"/>
          <w:highlight w:val="none"/>
          <w14:ligatures w14:val="none"/>
        </w:rPr>
        <w:t xml:space="preserve"> 7,5 млн. Завершить создание полного и точного реестра планируется к 2030 году.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 развитии ФГИС ЕЦП НСПД и создаваемых на её базе электронных сервисах, которые могут быть интересны профессиональным участникам рынка в сфере земли и недвижимости, в первую о</w:t>
      </w:r>
      <w:r>
        <w:rPr>
          <w:b w:val="0"/>
          <w:bCs w:val="0"/>
          <w:color w:val="292c2f"/>
          <w:highlight w:val="none"/>
          <w14:ligatures w14:val="none"/>
        </w:rPr>
        <w:t xml:space="preserve">чередь, кадастровым инженерам, на пленарном заседании рассказал начальник Управления стратегического развития и цифровой трансформации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Белокопытов.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«Росреестр активно развивает ФГИС ЕЦП НСПД, в том числе улучшая функциональность существующих сервисов и создавая новые. В целях обеспечения качества кадастровых работ и минимизации реестровых ошибок в документах, поступающих в Росреестр для проведения кад</w:t>
      </w:r>
      <w:r>
        <w:rPr>
          <w:b w:val="0"/>
          <w:bCs w:val="0"/>
          <w:color w:val="292c2f"/>
          <w:highlight w:val="none"/>
          <w14:ligatures w14:val="none"/>
        </w:rPr>
        <w:t xml:space="preserve">астрового учета, мы создаем инструментарий для работы кадастровых инженеров. Для предварительной проверки качества кадастровых работ, технических и межевых планов разработаны электронные сервисы «Визуализация пространственных данных», «Градостроительная пр</w:t>
      </w:r>
      <w:r>
        <w:rPr>
          <w:b w:val="0"/>
          <w:bCs w:val="0"/>
          <w:color w:val="292c2f"/>
          <w:highlight w:val="none"/>
          <w14:ligatures w14:val="none"/>
        </w:rPr>
        <w:t xml:space="preserve">оработка онлайн» и встраиваемый в информационные системы карткомпонент НСПД. Они позволяют сопоставлять актуальные данные (обновляемые каждые несколько минут) из 27 федеральных и 57 региональных систем, включая ЕГРН»,</w:t>
      </w:r>
      <w:r>
        <w:rPr>
          <w:b w:val="0"/>
          <w:bCs w:val="0"/>
          <w:color w:val="292c2f"/>
          <w:highlight w:val="none"/>
          <w14:ligatures w14:val="none"/>
        </w:rPr>
        <w:t xml:space="preserve"> —</w:t>
      </w:r>
      <w:r>
        <w:rPr>
          <w:b w:val="0"/>
          <w:bCs w:val="0"/>
          <w:color w:val="292c2f"/>
          <w:highlight w:val="none"/>
          <w14:ligatures w14:val="none"/>
        </w:rPr>
        <w:t xml:space="preserve"> 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Белокопытов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его словам, в ходе диалога, который состоялся на пленарной сессии, была достигнута договоренность об использовании кадастровыми инженерами электронных сервисов НСПД в целях повышения качества жизни и благополучия граждан, удовлетворенности предоставл</w:t>
      </w:r>
      <w:r>
        <w:rPr>
          <w:b w:val="0"/>
          <w:bCs w:val="0"/>
          <w:color w:val="292c2f"/>
          <w:highlight w:val="none"/>
          <w14:ligatures w14:val="none"/>
        </w:rPr>
        <w:t xml:space="preserve">яемыми услугами.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Новосибирск в десятке регионов-лидеров по внедрению НСПД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Вопросы реализации НСПД также обсуждались в рамках круглого стола, организованного Управлением Росреестра по Новосибирской области. Представители профсообщества, органов власти и местного самоуправления обменялись практическим опытом использования сервисов</w:t>
      </w:r>
      <w:r>
        <w:rPr>
          <w:b w:val="0"/>
          <w:bCs w:val="0"/>
          <w:color w:val="292c2f"/>
          <w:highlight w:val="none"/>
          <w14:ligatures w14:val="none"/>
        </w:rPr>
        <w:t xml:space="preserve"> НСПД в своей профессиональной деятельности и обсудили дальнейшие пути развития для совершенствования цифровой платформы.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начальника Управления стратегического развития и цифровой трансформации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Щеглов</w:t>
      </w:r>
      <w:r>
        <w:rPr>
          <w:b w:val="0"/>
          <w:bCs w:val="0"/>
          <w:color w:val="292c2f"/>
          <w:highlight w:val="none"/>
          <w14:ligatures w14:val="none"/>
        </w:rPr>
        <w:t xml:space="preserve"> подчеркнул: </w:t>
      </w:r>
      <w:r>
        <w:rPr>
          <w:b w:val="0"/>
          <w:bCs w:val="0"/>
          <w:color w:val="292c2f"/>
          <w:highlight w:val="none"/>
          <w14:ligatures w14:val="none"/>
        </w:rPr>
        <w:t xml:space="preserve">«Для эффективности использования НСПД в региональных и муниципальных услугах очень важно обеспечить наполнение Системы актуальными данными из региональных информационных систем. Это является зоной ответственности, в первую очередь, органов местного самоупр</w:t>
      </w:r>
      <w:r>
        <w:rPr>
          <w:b w:val="0"/>
          <w:bCs w:val="0"/>
          <w:color w:val="292c2f"/>
          <w:highlight w:val="none"/>
          <w14:ligatures w14:val="none"/>
        </w:rPr>
        <w:t xml:space="preserve">авления. Обеспечив цифровизацию собственной деятельности, они облегчают работу и своих сотрудников, и процесс получения услуг гражданами».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Модератором встречи выступила руководитель Управления Росреестра по Новосибирской области</w:t>
      </w:r>
      <w:r>
        <w:rPr>
          <w:b w:val="0"/>
          <w:bCs w:val="0"/>
          <w:color w:val="292c2f"/>
          <w:highlight w:val="none"/>
          <w14:ligatures w14:val="none"/>
        </w:rPr>
        <w:t xml:space="preserve"> </w:t>
      </w:r>
      <w:r>
        <w:rPr>
          <w:b w:val="0"/>
          <w:bCs w:val="0"/>
          <w:color w:val="292c2f"/>
          <w:highlight w:val="none"/>
          <w14:ligatures w14:val="none"/>
        </w:rPr>
        <w:t xml:space="preserve">Светлана Рягузова.</w:t>
      </w:r>
      <w:r>
        <w:rPr>
          <w:b w:val="0"/>
          <w:bCs w:val="0"/>
          <w:color w:val="292c2f"/>
          <w:highlight w:val="none"/>
          <w14:ligatures w14:val="none"/>
        </w:rPr>
        <w:t xml:space="preserve"> В ходе своего выступления она отметила достижения региона: </w:t>
      </w:r>
      <w:r>
        <w:rPr>
          <w:b w:val="0"/>
          <w:bCs w:val="0"/>
          <w:color w:val="292c2f"/>
          <w:highlight w:val="none"/>
          <w14:ligatures w14:val="none"/>
        </w:rPr>
        <w:t xml:space="preserve">«Новосибирская область в первой десятке регионов-лидеров по наполнению сведениями Национальной системы пространственных данных. Единая электронная картографическая основа, в которую включаются все пространственные данные, создана почти на 95%. Благодаря вз</w:t>
      </w:r>
      <w:r>
        <w:rPr>
          <w:b w:val="0"/>
          <w:bCs w:val="0"/>
          <w:color w:val="292c2f"/>
          <w:highlight w:val="none"/>
          <w14:ligatures w14:val="none"/>
        </w:rPr>
        <w:t xml:space="preserve">аимодействию Управления с региональными органами власти удалось достичь высоких показателей по наполнению сведениями реестра границ - до 81% и реестра прав. Сегодня в Новосибирской области 85% объектов содержат сведения о правообладателях», </w:t>
      </w:r>
      <w:r>
        <w:rPr>
          <w:b w:val="0"/>
          <w:bCs w:val="0"/>
          <w:color w:val="292c2f"/>
          <w:highlight w:val="none"/>
          <w14:ligatures w14:val="none"/>
        </w:rPr>
        <w:t xml:space="preserve">- сказала она.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XI Всероссийский съезд кадастровых инженеров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дни форума в Новосибирске также состоялось еще одно значимое событие для отрасли </w:t>
      </w:r>
      <w:r>
        <w:rPr>
          <w:b w:val="0"/>
          <w:bCs w:val="0"/>
          <w:color w:val="292c2f"/>
          <w:highlight w:val="none"/>
          <w14:ligatures w14:val="none"/>
        </w:rPr>
        <w:t xml:space="preserve">—</w:t>
      </w:r>
      <w:r>
        <w:rPr>
          <w:b w:val="0"/>
          <w:bCs w:val="0"/>
          <w:color w:val="292c2f"/>
          <w:highlight w:val="none"/>
          <w14:ligatures w14:val="none"/>
        </w:rPr>
        <w:t xml:space="preserve"> XI Всероссийский съезд кадастровых инженеров, который собрал представителей из более чем 70 регионов РФ. Приветствие участникам направил статс-секретарь - заместитель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. Он поблагодарил всех кадастровых инженеров, отметив их вклад в работу по созданию в стране полного и точного реестра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«Основной фокус Росреестра в ближайшие несколько лет будет направлен на развитие Национальной системы пространственных данных. Это важнейшее флагманское направление для ведомства, и мы надеемся на поддержку кадастровых инженеров в этом вопросе. Вместе с На</w:t>
      </w:r>
      <w:r>
        <w:rPr>
          <w:b w:val="0"/>
          <w:bCs w:val="0"/>
          <w:color w:val="292c2f"/>
          <w:highlight w:val="none"/>
          <w14:ligatures w14:val="none"/>
        </w:rPr>
        <w:t xml:space="preserve">циональным объединением кадастровых инженеров ведем работу над сложнейшим законопроектом, направленным на улучшение правового регулирования деятельности кадастровых инженеров. Изменения призваны сделать процедуру кадастровых работ более удобной для граждан</w:t>
      </w:r>
      <w:r>
        <w:rPr>
          <w:b w:val="0"/>
          <w:bCs w:val="0"/>
          <w:color w:val="292c2f"/>
          <w:highlight w:val="none"/>
          <w14:ligatures w14:val="none"/>
        </w:rPr>
        <w:t xml:space="preserve">. Также отмечу нашу совместную деятельность в рамках правительственного проекта по регуляторной гильотине. Кадастровые инженеры регулярно предоставляют замечания и предложения со стороны предпринимателей», —</w:t>
      </w:r>
      <w:r>
        <w:rPr>
          <w:b w:val="0"/>
          <w:bCs w:val="0"/>
          <w:color w:val="292c2f"/>
          <w:highlight w:val="none"/>
          <w14:ligatures w14:val="none"/>
        </w:rPr>
        <w:t xml:space="preserve"> 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Президент Ассоциации «Национальное объединение саморегулируемых организаций кадастровых инженеров» </w:t>
      </w:r>
      <w:r>
        <w:rPr>
          <w:b w:val="0"/>
          <w:bCs w:val="0"/>
          <w:color w:val="292c2f"/>
          <w:highlight w:val="none"/>
          <w14:ligatures w14:val="none"/>
        </w:rPr>
        <w:t xml:space="preserve">Алла Овчинникова</w:t>
      </w:r>
      <w:r>
        <w:rPr>
          <w:b w:val="0"/>
          <w:bCs w:val="0"/>
          <w:color w:val="292c2f"/>
          <w:highlight w:val="none"/>
          <w14:ligatures w14:val="none"/>
        </w:rPr>
        <w:t xml:space="preserve"> подчеркнула, что съезд традиционно создает условия для обмена опытом, внедрения передовых технологий, развития профессиональных компетенций и новых решений для совершенствования работы кадастровых инженеров.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«Создание Национальной системы пространственных данных (НСПД), массовая инвентаризация недвижимости по всей стране, новые технологические решения и возрастающие запросы со стороны клиентов создают условия для серьезной и глубокой трансформации кадастровой </w:t>
      </w:r>
      <w:r>
        <w:rPr>
          <w:b w:val="0"/>
          <w:bCs w:val="0"/>
          <w:color w:val="292c2f"/>
          <w:highlight w:val="none"/>
          <w14:ligatures w14:val="none"/>
        </w:rPr>
        <w:t xml:space="preserve">деятельности. Фактически этот процесс уже активно идет в реальной жизни. И сегодня кадастровый инженер — это высококвалифицированный эксперт в сфере земли и недвижимости, обладающий уникальным набором компетенций», —</w:t>
      </w:r>
      <w:r>
        <w:rPr>
          <w:b w:val="0"/>
          <w:bCs w:val="0"/>
          <w:color w:val="292c2f"/>
          <w:highlight w:val="none"/>
          <w14:ligatures w14:val="none"/>
        </w:rPr>
        <w:t xml:space="preserve"> сказала она.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озвучил промежуточные результаты реализации проекта Национальной системы пространственных данных.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Росреестре под председательством руководителя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Олега Скуфинского</w:t>
      </w:r>
      <w:r>
        <w:rPr>
          <w:b w:val="0"/>
          <w:bCs w:val="0"/>
          <w:color w:val="292c2f"/>
          <w:highlight w:val="none"/>
          <w14:ligatures w14:val="none"/>
        </w:rPr>
        <w:t xml:space="preserve"> состоялось 12-е заседание межведомственной рабочей группы (МРГ) по координации мероприятий, направленных на развитие и обеспечение функционирования ФГИС «Единая цифровая платформа «Национальная система пространственных данных» (ФГИС ЕЦП НСПД) в регионах Р</w:t>
      </w:r>
      <w:r>
        <w:rPr>
          <w:b w:val="0"/>
          <w:bCs w:val="0"/>
          <w:color w:val="292c2f"/>
          <w:highlight w:val="none"/>
          <w14:ligatures w14:val="none"/>
        </w:rPr>
        <w:t xml:space="preserve">оссии.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Руководитель ведомства отметил, что проект по реализации НСПД находится в особом фокусе внимания Правительства РФ. Он представил основные результаты внедрения ФГИС ЕЦП НСПД и обозначил ключевые задачи работы межведомственной группы на предстоящий п</w:t>
      </w:r>
      <w:r>
        <w:rPr>
          <w:b w:val="0"/>
          <w:bCs w:val="0"/>
          <w:color w:val="292c2f"/>
          <w:highlight w:val="none"/>
          <w14:ligatures w14:val="none"/>
        </w:rPr>
        <w:t xml:space="preserve">ериод.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«Это командная работа с регионами, и она идет опережающими темпами. По итогам 2024 года Единая цифровая платформа НСПД внедрена в 53 регионах страны при плановом значении 20. На текущий момент НСПД интегрирована с 27 федеральными и 80 региональными информа</w:t>
      </w:r>
      <w:r>
        <w:rPr>
          <w:b w:val="0"/>
          <w:bCs w:val="0"/>
          <w:color w:val="292c2f"/>
          <w:highlight w:val="none"/>
          <w14:ligatures w14:val="none"/>
        </w:rPr>
        <w:t xml:space="preserve">ционными системами. На базе платформы для государства, граждан и бизнеса доступно 20 электронных сервисов. В рамках третьей очереди в 2025-2026 гг. ФГИС ЕЦП НСПД будет внедрена еще в 11 регионах, развитие получат десять подсистем и 12 цифровых сервисов, ещ</w:t>
      </w:r>
      <w:r>
        <w:rPr>
          <w:b w:val="0"/>
          <w:bCs w:val="0"/>
          <w:color w:val="292c2f"/>
          <w:highlight w:val="none"/>
          <w14:ligatures w14:val="none"/>
        </w:rPr>
        <w:t xml:space="preserve">ё 6 сервисов будут созданы дополнительно. Ключевая задача до конца 2025 года – разработка и запуск на базе НСПД подсистемы рынка недвижимости, предназначенной для расчета кадастровой стоимости.», -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тестирования новых возможностей по расчету кадастровой стоимости введен дополнительный контур ФГИС ЕЦП НСПД. Он используется для обучения сотрудников государственных бюджетных учреждений работе в новой системе. Кроме того, уже сегодня на Единой цифр</w:t>
      </w:r>
      <w:r>
        <w:rPr>
          <w:b w:val="0"/>
          <w:bCs w:val="0"/>
          <w:color w:val="292c2f"/>
          <w:highlight w:val="none"/>
          <w14:ligatures w14:val="none"/>
        </w:rPr>
        <w:t xml:space="preserve">овой платформе успешно функционирует фонд данных государственной кадастровой оценки, обеспечивающий публикацию информации в течение одного рабочего дня.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Особое внимание уделяется реализации поручений Правительства, включая проект по созданию единой систем</w:t>
      </w:r>
      <w:r>
        <w:rPr>
          <w:b w:val="0"/>
          <w:bCs w:val="0"/>
          <w:color w:val="292c2f"/>
          <w:highlight w:val="none"/>
          <w14:ligatures w14:val="none"/>
        </w:rPr>
        <w:t xml:space="preserve">ы классификации и кодирования пространственных объектов НСПД. Сегодня существует большое число расхождений в классификаторах отраслей, отсутствуют единые подходы к наименованию отраслевых пространственных объектов и их цифровому описанию. Проект направлен </w:t>
      </w:r>
      <w:r>
        <w:rPr>
          <w:b w:val="0"/>
          <w:bCs w:val="0"/>
          <w:color w:val="292c2f"/>
          <w:highlight w:val="none"/>
          <w14:ligatures w14:val="none"/>
        </w:rPr>
        <w:t xml:space="preserve">на решение четырех ключевых задач: создание на базе отраслевых классификаторов единой системы классификации пространственных объектов; обеспечение интеграции данных, гармонизацию информации (приведение данных к одному формату); разработку методик по работе</w:t>
      </w:r>
      <w:r>
        <w:rPr>
          <w:b w:val="0"/>
          <w:bCs w:val="0"/>
          <w:color w:val="292c2f"/>
          <w:highlight w:val="none"/>
          <w14:ligatures w14:val="none"/>
        </w:rPr>
        <w:t xml:space="preserve"> с пространственными данными под различные сценарии потребителей.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результате будет разработана технология, улучшающая навигацию и поиск данных во ФГИС ЕЦП НСПД. Это позволит сделать сервисы НСПД более клиентоориентированными. Пользователи смогут получат</w:t>
      </w:r>
      <w:r>
        <w:rPr>
          <w:b w:val="0"/>
          <w:bCs w:val="0"/>
          <w:color w:val="292c2f"/>
          <w:highlight w:val="none"/>
          <w14:ligatures w14:val="none"/>
        </w:rPr>
        <w:t xml:space="preserve">ь комплексные сведения о пространственных объектах, их свойствах и принадлежности к различным отраслям.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Советник генерального директора ППК «Роскадастр» </w:t>
      </w:r>
      <w:r>
        <w:rPr>
          <w:b w:val="0"/>
          <w:bCs w:val="0"/>
          <w:color w:val="292c2f"/>
          <w:highlight w:val="none"/>
          <w14:ligatures w14:val="none"/>
        </w:rPr>
        <w:t xml:space="preserve">Дмитрий Ферапонтов</w:t>
      </w:r>
      <w:r>
        <w:rPr>
          <w:b w:val="0"/>
          <w:bCs w:val="0"/>
          <w:color w:val="292c2f"/>
          <w:highlight w:val="none"/>
          <w14:ligatures w14:val="none"/>
        </w:rPr>
        <w:t xml:space="preserve"> представил статус внедрения ФГИС ЕЦП НСПД в субъектах Российской Федерации.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«На территории регионов первой очереди (31) пространственные данные из региональных информационных систем полностью переданы во ФГИС ЕЦП НСПД и ежемесячно актуализируются. В реги</w:t>
      </w:r>
      <w:r>
        <w:rPr>
          <w:b w:val="0"/>
          <w:bCs w:val="0"/>
          <w:color w:val="292c2f"/>
          <w:highlight w:val="none"/>
          <w14:ligatures w14:val="none"/>
        </w:rPr>
        <w:t xml:space="preserve">онах второй очереди (22) интеграция данных в Единую цифровую платформу еще продолжается. В регионах (10) третьей очереди завершается этап обследования информационных систем, предусмотренный дорожной картой. По инициативе губернатора Мурманской области пред</w:t>
      </w:r>
      <w:r>
        <w:rPr>
          <w:b w:val="0"/>
          <w:bCs w:val="0"/>
          <w:color w:val="292c2f"/>
          <w:highlight w:val="none"/>
          <w14:ligatures w14:val="none"/>
        </w:rPr>
        <w:t xml:space="preserve">лагается включить данный регион в третью очередь. Кроме того, в 10 субъектах РФ в пилотном режиме ведется работа по внедрению функционала ФГИС ЕЦП НСПД при предоставлении государственных и муниципальных услуг», -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Дмитрий Ферапонтов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Согласно вступившему с 1 января 2025 года федеральному закону № 317-ФЗ, предусмотрено обязательное использование НСПД для оказания государственных и муниципальных услуг. В высокой степени готовности находится акт Правительства РФ, который установит перечен</w:t>
      </w:r>
      <w:r>
        <w:rPr>
          <w:b w:val="0"/>
          <w:bCs w:val="0"/>
          <w:color w:val="292c2f"/>
          <w:highlight w:val="none"/>
          <w14:ligatures w14:val="none"/>
        </w:rPr>
        <w:t xml:space="preserve">ь из 64 таких услуг в сфере земли и недвижимости. Это позволит органам власти принимать решения на основе достоверных, полных и актуальных пространственных данных Платформы и применять ее инструментарий в работе.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Как сообщил начальник Управления стратегич</w:t>
      </w:r>
      <w:r>
        <w:rPr>
          <w:b w:val="0"/>
          <w:bCs w:val="0"/>
          <w:color w:val="292c2f"/>
          <w:highlight w:val="none"/>
          <w14:ligatures w14:val="none"/>
        </w:rPr>
        <w:t xml:space="preserve">еского развития и цифровой трансформации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Белокопытов</w:t>
      </w:r>
      <w:r>
        <w:rPr>
          <w:b w:val="0"/>
          <w:bCs w:val="0"/>
          <w:color w:val="292c2f"/>
          <w:highlight w:val="none"/>
          <w14:ligatures w14:val="none"/>
        </w:rPr>
        <w:t xml:space="preserve">, с момента внедрения второй очереди ФГИС ЕЦП НСПД в декабре 2024 года количество ее пользователей значительно выросло. В среднем платформу в месяц посещает порядка 4 млн человек.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«Наиболее востребованными сервисами являются публичная кадастровая карта, к</w:t>
      </w:r>
      <w:r>
        <w:rPr>
          <w:b w:val="0"/>
          <w:bCs w:val="0"/>
          <w:color w:val="292c2f"/>
          <w:highlight w:val="none"/>
          <w14:ligatures w14:val="none"/>
        </w:rPr>
        <w:t xml:space="preserve">оторой с января по апрель воспользовались почти 10 млн человек, а также сервисы «Земля просто» и «Градостроительная проработка онлайн». Они популярны среди профессиональных участников рынка недвижимости, в том числе кадастровых инженеров и проектировщиков»</w:t>
      </w:r>
      <w:r>
        <w:rPr>
          <w:b w:val="0"/>
          <w:bCs w:val="0"/>
          <w:color w:val="292c2f"/>
          <w:highlight w:val="none"/>
          <w14:ligatures w14:val="none"/>
        </w:rPr>
        <w:t xml:space="preserve">, - отметил </w:t>
      </w:r>
      <w:r>
        <w:rPr>
          <w:b w:val="0"/>
          <w:bCs w:val="0"/>
          <w:color w:val="292c2f"/>
          <w:highlight w:val="none"/>
          <w14:ligatures w14:val="none"/>
        </w:rPr>
        <w:t xml:space="preserve">Сергей Белокопытов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 словам </w:t>
      </w:r>
      <w:r>
        <w:rPr>
          <w:b w:val="0"/>
          <w:bCs w:val="0"/>
          <w:color w:val="292c2f"/>
          <w:highlight w:val="none"/>
          <w14:ligatures w14:val="none"/>
        </w:rPr>
        <w:t xml:space="preserve">Василия Баландина</w:t>
      </w:r>
      <w:r>
        <w:rPr>
          <w:b w:val="0"/>
          <w:bCs w:val="0"/>
          <w:color w:val="292c2f"/>
          <w:highlight w:val="none"/>
          <w14:ligatures w14:val="none"/>
        </w:rPr>
        <w:t xml:space="preserve">, начальника Управления координации создания и обеспечения функционирования ФГИС ЕЦП НСПД филиала ППК «Роскадастр» ЦИТ «Роскадастр-Инфотех», одним из ключевых направлений остается внедрение встраиваемого картографического компонента для создания возможност</w:t>
      </w:r>
      <w:r>
        <w:rPr>
          <w:b w:val="0"/>
          <w:bCs w:val="0"/>
          <w:color w:val="292c2f"/>
          <w:highlight w:val="none"/>
          <w14:ligatures w14:val="none"/>
        </w:rPr>
        <w:t xml:space="preserve">и работы с геоинформационными технологиями НСПД в иных государственных информационных системах. Это необходимо для того, чтобы сотрудники органов власти могли проводить пространственный анализ в режиме реального времени внутри своих технологических процесс</w:t>
      </w:r>
      <w:r>
        <w:rPr>
          <w:b w:val="0"/>
          <w:bCs w:val="0"/>
          <w:color w:val="292c2f"/>
          <w:highlight w:val="none"/>
          <w14:ligatures w14:val="none"/>
        </w:rPr>
        <w:t xml:space="preserve">ов. С картографическим компонентом НСПД уже работают 5 федеральных органов власти.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целях повышения компетенций специалистов на базе корпоративного университета ППК «Роскадастр» разработан образовательный курс по работе во ФГИС ЕЦП НСПД. Обучение ориентировано на сотрудников бюджетных учреждений, филиалов ППК «Роскадастр» и территориаль</w:t>
      </w:r>
      <w:r>
        <w:rPr>
          <w:b w:val="0"/>
          <w:bCs w:val="0"/>
          <w:color w:val="292c2f"/>
          <w:highlight w:val="none"/>
          <w14:ligatures w14:val="none"/>
        </w:rPr>
        <w:t xml:space="preserve">ных органов Росреестра. Общее количество слушателей курса составило почти 700 человек, из них 519 - представители государственных бюджетных учреждений регионов, обеспечивающих проведение кадастровой оценки. В 2025 году запланировано три этапа обучения.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</w:t>
      </w:r>
      <w:r>
        <w:rPr>
          <w:b w:val="0"/>
          <w:bCs w:val="0"/>
          <w:color w:val="292c2f"/>
          <w:highlight w:val="none"/>
          <w14:ligatures w14:val="none"/>
        </w:rPr>
        <w:t xml:space="preserve">оме того, Росреестр, Корпоративный университет ППК «Роскадастр», Правительство Сахалинской области и Сахалинский государственный университет ведут совместную разработку образовательной программы НСПД для школы специалистов Дальневосточного федерального окр</w:t>
      </w:r>
      <w:r>
        <w:rPr>
          <w:b w:val="0"/>
          <w:bCs w:val="0"/>
          <w:color w:val="292c2f"/>
          <w:highlight w:val="none"/>
          <w14:ligatures w14:val="none"/>
        </w:rPr>
        <w:t xml:space="preserve">уга. Запуск школы запланирован на ближайшие месяцы, после чего опыт будет тиражирован на другие федеральные округа.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3. </w:t>
      </w:r>
      <w:r>
        <w:rPr>
          <w:b/>
          <w:bCs/>
          <w:color w:val="292c2f"/>
          <w:highlight w:val="none"/>
          <w14:ligatures w14:val="none"/>
        </w:rPr>
        <w:t xml:space="preserve">Госдума приняла во II и III чтениях законопроект Росреестра о защите электронных сделок с помощью биометрических данных.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Государственная Дума приняла во втором и третьем чтениях разработанный Росреестром законопроект, который позволит использовать Единую биометрическую систему для подачи документов на регистрацию объектов недвижимости в электронном виде. Это усилит безопасно</w:t>
      </w:r>
      <w:r>
        <w:rPr>
          <w:b w:val="0"/>
          <w:bCs w:val="0"/>
          <w:color w:val="292c2f"/>
          <w:highlight w:val="none"/>
          <w14:ligatures w14:val="none"/>
        </w:rPr>
        <w:t xml:space="preserve">сть сделок, проводимых в режиме онлайн, и обеспечит дополнительную защиту имущественных прав граждан.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Изменения предполагается внести в статью 36.2 Федерального закона «О государственной регистрации недвижимости».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Как сообщил статс-секретарь - заместител</w:t>
      </w:r>
      <w:r>
        <w:rPr>
          <w:b w:val="0"/>
          <w:bCs w:val="0"/>
          <w:color w:val="292c2f"/>
          <w:highlight w:val="none"/>
          <w14:ligatures w14:val="none"/>
        </w:rPr>
        <w:t xml:space="preserve">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, в настоящее время уже предусмотрена мера защиты от мошенничества при электронных сделках с недвижимостью - установлено обязательное письменное согласие собственника на государственную регистрацию права собственности на основании документов, подготовленны</w:t>
      </w:r>
      <w:r>
        <w:rPr>
          <w:b w:val="0"/>
          <w:bCs w:val="0"/>
          <w:color w:val="292c2f"/>
          <w:highlight w:val="none"/>
          <w14:ligatures w14:val="none"/>
        </w:rPr>
        <w:t xml:space="preserve">х в электронном виде. Для этого нужно дать разрешение лично, после чего в ЕГРН делается специальная отметка о возможности регистрации на основании документов, представленных в электронном виде и подписанных усиленной квалифицированной электронной подписью </w:t>
      </w:r>
      <w:r>
        <w:rPr>
          <w:b w:val="0"/>
          <w:bCs w:val="0"/>
          <w:color w:val="292c2f"/>
          <w:highlight w:val="none"/>
          <w14:ligatures w14:val="none"/>
        </w:rPr>
        <w:t xml:space="preserve">(УКЭП).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«Законопроектом предусмотрена еще одна мера защиты при электронных сделках с недвижимостью. В частности, граждане смогут подавать документы на регистрацию с помощью Единой биометрической системы, которая позволяет установить и подтвердить личность с исполь</w:t>
      </w:r>
      <w:r>
        <w:rPr>
          <w:b w:val="0"/>
          <w:bCs w:val="0"/>
          <w:color w:val="292c2f"/>
          <w:highlight w:val="none"/>
          <w14:ligatures w14:val="none"/>
        </w:rPr>
        <w:t xml:space="preserve">зованием биометрических персональных данных физических лиц. Данный механизм будет применяться в дополнение к УКЭП, которая уже сейчас обеспечивает надежность процесса регистрации прав собственности. Сочетание этих двух факторов обеспечит высокий уровень бе</w:t>
      </w:r>
      <w:r>
        <w:rPr>
          <w:b w:val="0"/>
          <w:bCs w:val="0"/>
          <w:color w:val="292c2f"/>
          <w:highlight w:val="none"/>
          <w14:ligatures w14:val="none"/>
        </w:rPr>
        <w:t xml:space="preserve">зопасности таких сделок и защиту граждан от мошеннических действий с недвижимостью. Кроме того, это очередной шаг на пути цифровизации, что сократит сроки получения услуг Росреестра и сделает их еще более удобными для наших пользователей»,</w:t>
      </w:r>
      <w:r>
        <w:rPr>
          <w:b w:val="0"/>
          <w:bCs w:val="0"/>
          <w:color w:val="292c2f"/>
          <w:highlight w:val="none"/>
          <w14:ligatures w14:val="none"/>
        </w:rPr>
        <w:t xml:space="preserve"> -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Вступление в силу предлагаемых положений запланировано на 1 июля 2026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4. </w:t>
      </w:r>
      <w:r>
        <w:rPr>
          <w:b/>
          <w:bCs/>
          <w:color w:val="292c2f"/>
          <w:highlight w:val="none"/>
          <w14:ligatures w14:val="none"/>
        </w:rPr>
        <w:t xml:space="preserve">Росреестр и «Ростелеком» обсудили вопросы развития импортонезависимой цифровой инфраструктуры для рынка недвижимости.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 и президент ПАО «Ростелеком» </w:t>
      </w:r>
      <w:r>
        <w:rPr>
          <w:b w:val="0"/>
          <w:bCs w:val="0"/>
          <w:color w:val="292c2f"/>
          <w:highlight w:val="none"/>
          <w14:ligatures w14:val="none"/>
        </w:rPr>
        <w:t xml:space="preserve">Михаил Осеевский</w:t>
      </w:r>
      <w:r>
        <w:rPr>
          <w:b w:val="0"/>
          <w:bCs w:val="0"/>
          <w:color w:val="292c2f"/>
          <w:highlight w:val="none"/>
          <w14:ligatures w14:val="none"/>
        </w:rPr>
        <w:t xml:space="preserve"> провели выездное совещание на площадке дата-центра компании «РТК-ЦОД», в котором развернуты ключевые государственные информационные системы, используемые в деятельности ведомства.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мероприятии также приняли участие советник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Андрей Матвеенко</w:t>
      </w:r>
      <w:r>
        <w:rPr>
          <w:b w:val="0"/>
          <w:bCs w:val="0"/>
          <w:color w:val="292c2f"/>
          <w:highlight w:val="none"/>
          <w14:ligatures w14:val="none"/>
        </w:rPr>
        <w:t xml:space="preserve">, начальники профильных управлений центрального аппарата, заместитель генерального директора ППК «Роскадастр» – директор филиала ЦИТ «Роскадастр-Инфотех»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Чашин</w:t>
      </w:r>
      <w:r>
        <w:rPr>
          <w:b w:val="0"/>
          <w:bCs w:val="0"/>
          <w:color w:val="292c2f"/>
          <w:highlight w:val="none"/>
          <w14:ligatures w14:val="none"/>
        </w:rPr>
        <w:t xml:space="preserve">, представители «Ростелекома» и его дочерней компании «РТК-ЦОД».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Как отметил </w:t>
      </w:r>
      <w:r>
        <w:rPr>
          <w:b w:val="0"/>
          <w:bCs w:val="0"/>
          <w:color w:val="292c2f"/>
          <w:highlight w:val="none"/>
          <w14:ligatures w14:val="none"/>
        </w:rPr>
        <w:t xml:space="preserve">руководитель Росреестра</w:t>
      </w:r>
      <w:r>
        <w:rPr>
          <w:b w:val="0"/>
          <w:bCs w:val="0"/>
          <w:color w:val="292c2f"/>
          <w:highlight w:val="none"/>
          <w14:ligatures w14:val="none"/>
        </w:rPr>
        <w:t xml:space="preserve">, специалисты ведомства посетили импортозамещенный центр обработки данных, чтобы ознакомиться с его инфраструктурой и убедиться в надежности и отказоустойчивости.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Необходимо отметить, что качество работы информационных систем Росреестра определяется не только программными средствами, но и той инфраструктурой, на которой размещаются данные. Сегодня Росреестром обеспечено системное взаимодействие с Минцифры и ПАО «Рос</w:t>
      </w:r>
      <w:r>
        <w:rPr>
          <w:b w:val="0"/>
          <w:bCs w:val="0"/>
          <w:color w:val="292c2f"/>
          <w:highlight w:val="none"/>
          <w14:ligatures w14:val="none"/>
        </w:rPr>
        <w:t xml:space="preserve">телеком» по созданию необходимой цифровой инфраструктуры для обеспечения оборота рынка недвижимости»,</w:t>
      </w:r>
      <w:r>
        <w:rPr>
          <w:b w:val="0"/>
          <w:bCs w:val="0"/>
          <w:color w:val="292c2f"/>
          <w:highlight w:val="none"/>
          <w14:ligatures w14:val="none"/>
        </w:rPr>
        <w:t xml:space="preserve"> —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рамках мероприятия состоялось совещание, на котором обсуждалось развитие информационных систем ведомства. Также представители Росреестра и ППК «Роскадастр» познакомились с технологическими возможностями дата-центра: побывали в мониторинговом центре, изол</w:t>
      </w:r>
      <w:r>
        <w:rPr>
          <w:b w:val="0"/>
          <w:bCs w:val="0"/>
          <w:color w:val="292c2f"/>
          <w:highlight w:val="none"/>
          <w14:ligatures w14:val="none"/>
        </w:rPr>
        <w:t xml:space="preserve">ированных машинных залах, узнали про системы гарантированного энергоснабжения, охлаждения и газового пожаротушения, протестировали систему резервного питания от дизель-генератора.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Представители «Ростелекома» и «РТК-ЦОД» рассказали об устройстве дата-центра и реализации импортозамещенных архитектурных решений и информационных систем, на базе которых построена инфраструктура «Гособлака».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«Мы уже не первый год плодотворно сотрудничаем с Росреестром по созданию и развитию мощной цифровой инфраструктуры под задачи ведомства. Наш ЦОД соответствует высочайшим мировым стандартам энергоэффективности и безопасности. Мы реализовали специальные техн</w:t>
      </w:r>
      <w:r>
        <w:rPr>
          <w:b w:val="0"/>
          <w:bCs w:val="0"/>
          <w:color w:val="292c2f"/>
          <w:highlight w:val="none"/>
          <w14:ligatures w14:val="none"/>
        </w:rPr>
        <w:t xml:space="preserve">ологические решения для обеспечения отказоустойчивости профильных информационных систем, усовершенствовали систему мониторинга и оперативного реагирования на инциденты. Мы и в дальнейшем будем развивать импортонезависимые дата-центры и инфраструктуру с уче</w:t>
      </w:r>
      <w:r>
        <w:rPr>
          <w:b w:val="0"/>
          <w:bCs w:val="0"/>
          <w:color w:val="292c2f"/>
          <w:highlight w:val="none"/>
          <w14:ligatures w14:val="none"/>
        </w:rPr>
        <w:t xml:space="preserve">том приоритетов Росреестра»</w:t>
      </w:r>
      <w:r>
        <w:rPr>
          <w:b w:val="0"/>
          <w:bCs w:val="0"/>
          <w:color w:val="292c2f"/>
          <w:highlight w:val="none"/>
          <w14:ligatures w14:val="none"/>
        </w:rPr>
        <w:t xml:space="preserve">, — сообщил </w:t>
      </w:r>
      <w:r>
        <w:rPr>
          <w:b w:val="0"/>
          <w:bCs w:val="0"/>
          <w:color w:val="292c2f"/>
          <w:highlight w:val="none"/>
          <w14:ligatures w14:val="none"/>
        </w:rPr>
        <w:t xml:space="preserve">Михаил Осеевский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итогам обсуждения стороны договорились продолжить тесное взаимодействие и совместную проработку вопросов для дальнейшего развития цифровой экосистемы рынка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5.</w:t>
      </w:r>
      <w:r>
        <w:rPr>
          <w:b/>
          <w:bCs/>
          <w:color w:val="292c2f"/>
          <w:highlight w:val="none"/>
          <w14:ligatures w14:val="none"/>
        </w:rPr>
        <w:t xml:space="preserve"> Вопрос-ответ: как осуществляются сделки с недвижимостью с участием несовершеннолетних?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 продолжает публиковать материалы, посвященные разъяснению актуальных вопросов в сфере земли и недвижимости. Накануне Международного дня защиты детей специалисты ведомства решили разъяснить вопросы о правах детей при совершении сделок с недвижимос</w:t>
      </w:r>
      <w:r>
        <w:rPr>
          <w:b w:val="0"/>
          <w:bCs w:val="0"/>
          <w:color w:val="292c2f"/>
          <w:highlight w:val="none"/>
          <w14:ligatures w14:val="none"/>
        </w:rPr>
        <w:t xml:space="preserve">тью.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Важно знать, что детские права охраняются законом, поэтому они должны контролироваться родителями или иными законными представителями. В свою очередь, действия родителей, опекунов или попечителей по управлению имуществом детей подпадают под юрисдикци</w:t>
      </w:r>
      <w:r>
        <w:rPr>
          <w:b w:val="0"/>
          <w:bCs w:val="0"/>
          <w:color w:val="292c2f"/>
          <w:highlight w:val="none"/>
          <w14:ligatures w14:val="none"/>
        </w:rPr>
        <w:t xml:space="preserve">ю органов опеки и попечительства. Более того, возраст несовершеннолетнего влияет на объем полномочий при сделках.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Категории несовершеннолетних лиц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Совершая сделку с недвижимым имуществом, собственником которого является ребенок, необходимо знать, что объем его прав существенно отличается от объема прав совершеннолетнего. Необходимо учитывать эти особенности при совершении сделок с недвижимостью, инач</w:t>
      </w:r>
      <w:r>
        <w:rPr>
          <w:b w:val="0"/>
          <w:bCs w:val="0"/>
          <w:color w:val="292c2f"/>
          <w:highlight w:val="none"/>
          <w14:ligatures w14:val="none"/>
        </w:rPr>
        <w:t xml:space="preserve">е их могут признать недействительными.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Несовершеннолетние, то есть лица, не достигшие 18 лет (совершеннолетия), подразделяются на две категории (ст. ст. 26, 28 ГК РФ):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лица в возрасте от 14 до 18 лет;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лица, не достигшие 14 лет.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Первая категория лиц, в отличие от второй, наделена большими правами при заключении сделок с недвижимостью. Дети в возрасте от 14 до 18 лет могут совершать сделки с недвижимостью, но только при наличии письменного согласия сво</w:t>
      </w:r>
      <w:r>
        <w:rPr>
          <w:b w:val="0"/>
          <w:bCs w:val="0"/>
          <w:color w:val="292c2f"/>
          <w:highlight w:val="none"/>
          <w14:ligatures w14:val="none"/>
        </w:rPr>
        <w:t xml:space="preserve">их законных представителей – родителей, усыновителей или попечителей. Если сделка была совершена без согласия законных представителей ребенка, она может быть признана судом недействительной (п. 1 ст. 26, ст. 175 ГК РФ).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Лица, не достигшие 14-летнего возра</w:t>
      </w:r>
      <w:r>
        <w:rPr>
          <w:b w:val="0"/>
          <w:bCs w:val="0"/>
          <w:color w:val="292c2f"/>
          <w:highlight w:val="none"/>
          <w14:ligatures w14:val="none"/>
        </w:rPr>
        <w:t xml:space="preserve">ста (малолетние) в сделках не участвуют, их интересы представляют родители, усыновители или опекуны (п. 1 ст. 28, ст. 172 ГК РФ).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 этом как в первом, так и во втором случае законные представители должны предварительно заручиться разрешением органа опек</w:t>
      </w:r>
      <w:r>
        <w:rPr>
          <w:b w:val="0"/>
          <w:bCs w:val="0"/>
          <w:color w:val="292c2f"/>
          <w:highlight w:val="none"/>
          <w14:ligatures w14:val="none"/>
        </w:rPr>
        <w:t xml:space="preserve">и и попечительства (п. 2 ст. 37 ГК РФ; п. 3 ст. 60 СК РФ; ч. 1 ст. 21 Закона от 24.04.2008 № 48-ФЗ).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Получение предварительного разрешения органа опеки и попечительства.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Недвижимость, собственником которой является ребенок, является исключительно его имуществом. Родители, усыновители и опекуны не могут по своей воле продать, обменять, подарить, сдать в аренду, разделить или выделить доли из имущества ребёнка без предварите</w:t>
      </w:r>
      <w:r>
        <w:rPr>
          <w:b w:val="0"/>
          <w:bCs w:val="0"/>
          <w:color w:val="292c2f"/>
          <w:highlight w:val="none"/>
          <w14:ligatures w14:val="none"/>
        </w:rPr>
        <w:t xml:space="preserve">льного разрешения органов опеки и попечительства (п. 1 ст. 28 ГК РФ; п. 3 ст. 60 СК РФ).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 этом предварительное разрешение, выданное органом опеки и попечительства, как правило, содержит определенное условие. Например, приобретение в собственность ребен</w:t>
      </w:r>
      <w:r>
        <w:rPr>
          <w:b w:val="0"/>
          <w:bCs w:val="0"/>
          <w:color w:val="292c2f"/>
          <w:highlight w:val="none"/>
          <w14:ligatures w14:val="none"/>
        </w:rPr>
        <w:t xml:space="preserve">ка иного недвижимого имущества взамен отчуждаемого. Это условие должно быть выполнено до того, как документы по отчуждению имущества ребенка будут представлены в органы регистрации. Обойти это условие не удастся, в противном случае в регистрации сделки буд</w:t>
      </w:r>
      <w:r>
        <w:rPr>
          <w:b w:val="0"/>
          <w:bCs w:val="0"/>
          <w:color w:val="292c2f"/>
          <w:highlight w:val="none"/>
          <w14:ligatures w14:val="none"/>
        </w:rPr>
        <w:t xml:space="preserve">ет отказано.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Без предварительного разрешения органов опеки опекун не вправе совершать, а попечитель не вправе давать согласие на совершение сделок по отчуждению имущества подопечного, в том числе: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по обмену или дарению;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сдаче внаем (аренду);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сдаче в безвозмездное пользование или в залог;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влекущих отказ от принадлежащих подопечному прав, раздел его имущества или выдел из него долей;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любых других действий по уменьшению стоимости имущества подопечного.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Обращаем внимание!</w:t>
      </w:r>
      <w:r>
        <w:rPr>
          <w:b w:val="0"/>
          <w:bCs w:val="0"/>
          <w:color w:val="292c2f"/>
          <w:highlight w:val="none"/>
          <w14:ligatures w14:val="none"/>
        </w:rPr>
        <w:t xml:space="preserve"> Предварительное разрешение органов опеки либо отказ в его выдаче должны быть направлены законным представителям ребенка в письменной форме не позднее чем через 15 дней с даты подачи соответствующего заявления в орган опеки и попечительства.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Отказ</w:t>
      </w:r>
      <w:r>
        <w:rPr>
          <w:b w:val="0"/>
          <w:bCs w:val="0"/>
          <w:color w:val="292c2f"/>
          <w:highlight w:val="none"/>
          <w14:ligatures w14:val="none"/>
        </w:rPr>
        <w:t xml:space="preserve"> в выдаче предварительного разрешения </w:t>
      </w:r>
      <w:r>
        <w:rPr>
          <w:b w:val="0"/>
          <w:bCs w:val="0"/>
          <w:color w:val="292c2f"/>
          <w:highlight w:val="none"/>
          <w14:ligatures w14:val="none"/>
        </w:rPr>
        <w:t xml:space="preserve">может быть оспорен</w:t>
      </w:r>
      <w:r>
        <w:rPr>
          <w:b w:val="0"/>
          <w:bCs w:val="0"/>
          <w:color w:val="292c2f"/>
          <w:highlight w:val="none"/>
          <w14:ligatures w14:val="none"/>
        </w:rPr>
        <w:t xml:space="preserve"> в судебном порядке (ч. 3 ст. 21 Закона № 48-ФЗ).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Нотариальное удостоверение сделки.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Завершающее требование – обязательное нотариальное удостоверение сделок по отчуждению объектов недвижимости, если их собственником либо участником общей собственности является несовершеннолетний. Несоблюдение нотариальной формы сделки влечет ее ничтожность</w:t>
      </w:r>
      <w:r>
        <w:rPr>
          <w:b w:val="0"/>
          <w:bCs w:val="0"/>
          <w:color w:val="292c2f"/>
          <w:highlight w:val="none"/>
          <w14:ligatures w14:val="none"/>
        </w:rPr>
        <w:t xml:space="preserve">, то есть недействительность.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Подача документов на регистрацию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Поскольку договор об отчуждении объекта недвижимости, принадлежащего несовершеннолетнему, подлежит нотариальному удостоверению, за государственной регистрацией прав на основании такого договора может обратиться нотариус, удостоверивший этот договор, или лю</w:t>
      </w:r>
      <w:r>
        <w:rPr>
          <w:b w:val="0"/>
          <w:bCs w:val="0"/>
          <w:color w:val="292c2f"/>
          <w:highlight w:val="none"/>
          <w14:ligatures w14:val="none"/>
        </w:rPr>
        <w:t xml:space="preserve">бая из его сторон.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Подать пакет документов на регистрацию сделки с участием несовершеннолетних можно несколькими способами: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лично в многофункциональных центрах предоставления государственных и муниципальных услуг (в том числе по экстерриториальному принципу);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лично в рамках услуги по выездному обслуживанию;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– дистанционно с помощью единого портала государственных и муниципальных услуг или личного кабинете на официальном сайте Росреестра.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Обязательным условием</w:t>
      </w:r>
      <w:r>
        <w:rPr>
          <w:b w:val="0"/>
          <w:bCs w:val="0"/>
          <w:color w:val="292c2f"/>
          <w:highlight w:val="none"/>
          <w14:ligatures w14:val="none"/>
        </w:rPr>
        <w:t xml:space="preserve"> подачи документов в электронном виде является </w:t>
      </w:r>
      <w:r>
        <w:rPr>
          <w:b w:val="0"/>
          <w:bCs w:val="0"/>
          <w:color w:val="292c2f"/>
          <w:highlight w:val="none"/>
          <w14:ligatures w14:val="none"/>
        </w:rPr>
        <w:t xml:space="preserve">наличие усиленной квалифицированной электронной подписи.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6.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Правительство РФ утвердило перечень признаков неиспользования земельных участков.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Правительство России утвердило перечень признаков неиспользования земельных участков из состава земель населенных пунктов, садовых и огородных земельных участков. Документ содержит критерии, которые позволят оценить, осуществляется ли использование земельн</w:t>
      </w:r>
      <w:r>
        <w:rPr>
          <w:b w:val="0"/>
          <w:bCs w:val="0"/>
          <w:color w:val="292c2f"/>
          <w:highlight w:val="none"/>
          <w14:ligatures w14:val="none"/>
        </w:rPr>
        <w:t xml:space="preserve">ых участков в установленные </w:t>
      </w:r>
      <w:hyperlink r:id="rId19" w:tooltip="http://publication.pravo.gov.ru/document/0001202408080107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Законом № 307-ФЗ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сроки.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Документ разработан в рамках реализации Федерального закона № 307-ФЗ, который вступил в силу с 1 марта 2025 года и определяет трехлетний срок для освоения земельных участков, расположенных в границах населенных пунктов, садовых и огородных земельн</w:t>
      </w:r>
      <w:r>
        <w:rPr>
          <w:b w:val="0"/>
          <w:bCs w:val="0"/>
          <w:color w:val="292c2f"/>
          <w:highlight w:val="none"/>
          <w14:ligatures w14:val="none"/>
        </w:rPr>
        <w:t xml:space="preserve">ых участков. Течение этого срока начинается с момента возникновения права на земельный участок, а по тем участкам, которые уже в собственности, с 1 марта 2025 года. По новым правилам, правообладатели земельных участков, которые невозможно использовать сраз</w:t>
      </w:r>
      <w:r>
        <w:rPr>
          <w:b w:val="0"/>
          <w:bCs w:val="0"/>
          <w:color w:val="292c2f"/>
          <w:highlight w:val="none"/>
          <w14:ligatures w14:val="none"/>
        </w:rPr>
        <w:t xml:space="preserve">у после приобретения прав, должны приступить к их использованию после проведения мероприятий по освоению.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«Основной целью постановления Правительства РФ является повышение качества использования земельных ресурсов и дополнительная защита граждан, чьи участки расположены по соседству с заброшенными и захламленными территориями. На основе утвержденных признаков </w:t>
      </w:r>
      <w:r>
        <w:rPr>
          <w:b w:val="0"/>
          <w:bCs w:val="0"/>
          <w:color w:val="292c2f"/>
          <w:highlight w:val="none"/>
          <w14:ligatures w14:val="none"/>
        </w:rPr>
        <w:t xml:space="preserve">инспекторы органов контроля (надзора) в ходе проверок смогут сделать вывод, используется участок или нет. Это позволит исключить риски применения оценочных суждений инспектора и коррупционных проявлений. Кроме того, теперь правообладатели будут знать, чего</w:t>
      </w:r>
      <w:r>
        <w:rPr>
          <w:b w:val="0"/>
          <w:bCs w:val="0"/>
          <w:color w:val="292c2f"/>
          <w:highlight w:val="none"/>
          <w14:ligatures w14:val="none"/>
        </w:rPr>
        <w:t xml:space="preserve"> именно нельзя допускать на земельных участках, и смогут своевременно принять меры, необходимые для соблюдения законодательства»</w:t>
      </w:r>
      <w:r>
        <w:rPr>
          <w:b w:val="0"/>
          <w:bCs w:val="0"/>
          <w:color w:val="292c2f"/>
          <w:highlight w:val="none"/>
          <w14:ligatures w14:val="none"/>
        </w:rPr>
        <w:t xml:space="preserve">, - сказал статс-секретарь – заместитель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частности, для всех земельных участков в границах населенных пунктов, а также садовых и огородных участков признаком неиспользования является захламление или загрязнение отходами более половины их площади в течение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Садовые, огородные и приусаде</w:t>
      </w:r>
      <w:r>
        <w:rPr>
          <w:b w:val="0"/>
          <w:bCs w:val="0"/>
          <w:color w:val="292c2f"/>
          <w:highlight w:val="none"/>
          <w14:ligatures w14:val="none"/>
        </w:rPr>
        <w:t xml:space="preserve">бные земельные участки не должны быть заросшими сорными растениями. Такие участки будут считаться неиспользуемыми, если более чем половина их площади в течение года остается покрытой сорными растениями высотой более 1 метра, а также деревьями и кустарникам</w:t>
      </w:r>
      <w:r>
        <w:rPr>
          <w:b w:val="0"/>
          <w:bCs w:val="0"/>
          <w:color w:val="292c2f"/>
          <w:highlight w:val="none"/>
          <w14:ligatures w14:val="none"/>
        </w:rPr>
        <w:t xml:space="preserve">и, которые не являются предметами благоустройства и озеленения.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земельных участков, предназначенных для строительства, таким признаком будет отсутствие построенного и оформленного здания, сооружения в течение 5 лет. При этом установлены случаи, когда </w:t>
      </w:r>
      <w:r>
        <w:rPr>
          <w:b w:val="0"/>
          <w:bCs w:val="0"/>
          <w:color w:val="292c2f"/>
          <w:highlight w:val="none"/>
          <w14:ligatures w14:val="none"/>
        </w:rPr>
        <w:t xml:space="preserve">такой срок может быть иным – например, если он указан в разрешении на строительство или решении о комплексном развитии территории.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земельных участков, предназначенных для индивидуального жилищного строительства, введен аналогичный признак неиспользова</w:t>
      </w:r>
      <w:r>
        <w:rPr>
          <w:b w:val="0"/>
          <w:bCs w:val="0"/>
          <w:color w:val="292c2f"/>
          <w:highlight w:val="none"/>
          <w14:ligatures w14:val="none"/>
        </w:rPr>
        <w:t xml:space="preserve">ния. При этом срок для строительства индивидуального жилого дома и регистрации права на него увеличен до 7 лет.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Если на земельном участке уже построены здание либо сооружение, то необходимо содержать их в надлежащем состоянии, не допускать разрушения крыш</w:t>
      </w:r>
      <w:r>
        <w:rPr>
          <w:b w:val="0"/>
          <w:bCs w:val="0"/>
          <w:color w:val="292c2f"/>
          <w:highlight w:val="none"/>
          <w14:ligatures w14:val="none"/>
        </w:rPr>
        <w:t xml:space="preserve">и, стен, выпадения окон или стекол из окон. Это также будет свидетельствовать о неиспользовании земельного участка.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Акт Правительства вступает в силу с 1 сентября 2025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Напомним, что ранее Правительством РФ был также утвержден </w:t>
      </w:r>
      <w:hyperlink r:id="rId20" w:tooltip="https://rosreestr.gov.ru/press/archive/pravitelstvo-utverdilo-perechen-meropriyatiy-neobkhodimykh-dlya-osvoeniya-zemelnogo-uchastka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перечень мероприятий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по приведению земельных участков в состояние, пригодное для их использования по целевому назначению. В нем прописаны конкретные мероприятия, которые необходимо провести в рамках освоения участка.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7. </w:t>
      </w:r>
      <w:r>
        <w:rPr>
          <w:b/>
          <w:bCs/>
          <w:color w:val="292c2f"/>
          <w:highlight w:val="none"/>
          <w14:ligatures w14:val="none"/>
        </w:rPr>
        <w:t xml:space="preserve">Руководитель Росреестра обозначил перспективы развития отрасли на Международном форуме в МИИГАиК.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Московском государственном университете геодезии и картографии (МИИГАиК) состоялась Международная выставка-форум «Пространственные данные: МИИГАиК – Территория инноваций». В мероприятии принял участие 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Форум является одним из ключевых событий для отрасли и организуется в целях укрепления международного сотрудничества в области геодезии, картографии, кадастра и геоинформационных технологий. Мероприятие объединило ведущих разработчиков технологий простр</w:t>
      </w:r>
      <w:r>
        <w:rPr>
          <w:b w:val="0"/>
          <w:bCs w:val="0"/>
          <w:color w:val="292c2f"/>
          <w:highlight w:val="none"/>
          <w14:ligatures w14:val="none"/>
        </w:rPr>
        <w:t xml:space="preserve">анственных данных – от геодезии до космических и подводных разработок.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«На базе МИИГАиК мы формируем кадровое обеспечение отрасли. Кадры, которые готовит вуз, станут опорой для дальнейшего развития геоинформационных технологий. Росреестр реализует флагманский проект по созданию Национальной системы пространственных данных, да</w:t>
      </w:r>
      <w:r>
        <w:rPr>
          <w:b w:val="0"/>
          <w:bCs w:val="0"/>
          <w:color w:val="292c2f"/>
          <w:highlight w:val="none"/>
          <w14:ligatures w14:val="none"/>
        </w:rPr>
        <w:t xml:space="preserve">льнейшее развитие которой невозможно без квалифицированных специалистов, способных эффективно работать в условиях цифровой трансформации. Говоря о перспективах, отдельно отмечу необходимость импортозамещения оборудования в сфере геодезии, картографии и про</w:t>
      </w:r>
      <w:r>
        <w:rPr>
          <w:b w:val="0"/>
          <w:bCs w:val="0"/>
          <w:color w:val="292c2f"/>
          <w:highlight w:val="none"/>
          <w14:ligatures w14:val="none"/>
        </w:rPr>
        <w:t xml:space="preserve">странственных данных. Серийное производство отечественной линейки приборов позволит обеспечить технологическую независимость отрасли от иностранных производителей, станет инструментом для развития новой экономики. Это один из ключевых вопросов, который нах</w:t>
      </w:r>
      <w:r>
        <w:rPr>
          <w:b w:val="0"/>
          <w:bCs w:val="0"/>
          <w:color w:val="292c2f"/>
          <w:highlight w:val="none"/>
          <w14:ligatures w14:val="none"/>
        </w:rPr>
        <w:t xml:space="preserve">одится в фокусе внимания ведомства», </w:t>
      </w:r>
      <w:r>
        <w:rPr>
          <w:b w:val="0"/>
          <w:bCs w:val="0"/>
          <w:color w:val="292c2f"/>
          <w:highlight w:val="none"/>
          <w14:ligatures w14:val="none"/>
        </w:rPr>
        <w:t xml:space="preserve">– отметил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Скуфинский, </w:t>
      </w:r>
      <w:r>
        <w:rPr>
          <w:b w:val="0"/>
          <w:bCs w:val="0"/>
          <w:color w:val="292c2f"/>
          <w:highlight w:val="none"/>
          <w14:ligatures w14:val="none"/>
        </w:rPr>
        <w:t xml:space="preserve">приветствуя гостей и организаторов форума.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Он также сообщил, что в рамках образовательного консорциума, который Росреестр создал совместно с МИИГАиК, обучение прошли более 6 тыс. сотрудников ведомства. Из них более 900 получили степень магистра, а более 5 тыс. прошли профессиональную подготовку, в </w:t>
      </w:r>
      <w:r>
        <w:rPr>
          <w:b w:val="0"/>
          <w:bCs w:val="0"/>
          <w:color w:val="292c2f"/>
          <w:highlight w:val="none"/>
          <w14:ligatures w14:val="none"/>
        </w:rPr>
        <w:t xml:space="preserve">том числе специалисты из новых регионов.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Министра науки и высшего образования РФ </w:t>
      </w:r>
      <w:r>
        <w:rPr>
          <w:b w:val="0"/>
          <w:bCs w:val="0"/>
          <w:color w:val="292c2f"/>
          <w:highlight w:val="none"/>
          <w14:ligatures w14:val="none"/>
        </w:rPr>
        <w:t xml:space="preserve">Дмитрий Афанасьев</w:t>
      </w:r>
      <w:r>
        <w:rPr>
          <w:b w:val="0"/>
          <w:bCs w:val="0"/>
          <w:color w:val="292c2f"/>
          <w:highlight w:val="none"/>
          <w14:ligatures w14:val="none"/>
        </w:rPr>
        <w:t xml:space="preserve"> также подчеркнул важность задачи по обеспечению технологического лидерства России в сфере геоинформационных технологий. По его словам, на результатах работы специалистов отрасли строится широкий массив данных, используемых для пространственного развития, </w:t>
      </w:r>
      <w:r>
        <w:rPr>
          <w:b w:val="0"/>
          <w:bCs w:val="0"/>
          <w:color w:val="292c2f"/>
          <w:highlight w:val="none"/>
          <w14:ligatures w14:val="none"/>
        </w:rPr>
        <w:t xml:space="preserve">планирования размещения производительных сил, поиска и извлечения полезных ископаемых.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Мы должны и в этой сфере становиться национальными, международными лидерами. Необходимо уйти от технологической зависимости. Это задачи нашего суверенитета, условия нашей безопасности и эффективного будущего развития. Министерство готово выступить исполнит</w:t>
      </w:r>
      <w:r>
        <w:rPr>
          <w:b w:val="0"/>
          <w:bCs w:val="0"/>
          <w:color w:val="292c2f"/>
          <w:highlight w:val="none"/>
          <w14:ligatures w14:val="none"/>
        </w:rPr>
        <w:t xml:space="preserve">елем, координатором сложных задач, которые ставятся перед нами Президентом, Правительством, экономикой в целом. У нас есть для этого ресурсы, есть опыт и, самое главное, большая мотивация вместе мобилизовать университетское и научное сообщество на решение </w:t>
      </w:r>
      <w:r>
        <w:rPr>
          <w:b w:val="0"/>
          <w:bCs w:val="0"/>
          <w:color w:val="292c2f"/>
          <w:highlight w:val="none"/>
          <w14:ligatures w14:val="none"/>
        </w:rPr>
        <w:t xml:space="preserve">этих первостепенных задач», </w:t>
      </w:r>
      <w:r>
        <w:rPr>
          <w:b w:val="0"/>
          <w:bCs w:val="0"/>
          <w:color w:val="292c2f"/>
          <w:highlight w:val="none"/>
          <w14:ligatures w14:val="none"/>
        </w:rPr>
        <w:t xml:space="preserve">–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Дмитрий Афанасьев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Ректор Московского государственного университета геодезии и картографии </w:t>
      </w:r>
      <w:r>
        <w:rPr>
          <w:b w:val="0"/>
          <w:bCs w:val="0"/>
          <w:color w:val="292c2f"/>
          <w:highlight w:val="none"/>
          <w14:ligatures w14:val="none"/>
        </w:rPr>
        <w:t xml:space="preserve">Надежда Камынина</w:t>
      </w:r>
      <w:r>
        <w:rPr>
          <w:b w:val="0"/>
          <w:bCs w:val="0"/>
          <w:color w:val="292c2f"/>
          <w:highlight w:val="none"/>
          <w14:ligatures w14:val="none"/>
        </w:rPr>
        <w:t xml:space="preserve"> отметила, что интерес к мероприятию растет, и оно должно развиваться.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«Технологическое лидерство, положенное во главу национального развития, — это отлично подготовленные специалисты высокого уровня, получившие фундаментальное и актуальное образование и умеющие создавать технологии для экономики будущего. Можно много говорит</w:t>
      </w:r>
      <w:r>
        <w:rPr>
          <w:b w:val="0"/>
          <w:bCs w:val="0"/>
          <w:color w:val="292c2f"/>
          <w:highlight w:val="none"/>
          <w14:ligatures w14:val="none"/>
        </w:rPr>
        <w:t xml:space="preserve">ь о необходимости трансформаций, но у всех сторон, от которых она зависит, должна быть площадка для открытого диалога. МИИГАиК стал такой площадкой. Это можно утверждать, судя по статистике этого года: 25 стендов на отраслевой выставке технологий представи</w:t>
      </w:r>
      <w:r>
        <w:rPr>
          <w:b w:val="0"/>
          <w:bCs w:val="0"/>
          <w:color w:val="292c2f"/>
          <w:highlight w:val="none"/>
          <w14:ligatures w14:val="none"/>
        </w:rPr>
        <w:t xml:space="preserve">ли и университеты, и госкорпорации, и частный бизнес нашей сферы.</w:t>
      </w:r>
      <w:r>
        <w:rPr>
          <w:b w:val="0"/>
          <w:bCs w:val="0"/>
          <w:color w:val="292c2f"/>
          <w:highlight w:val="none"/>
          <w14:ligatures w14:val="none"/>
        </w:rPr>
        <w:t xml:space="preserve"> </w:t>
      </w:r>
      <w:r>
        <w:rPr>
          <w:b w:val="0"/>
          <w:bCs w:val="0"/>
          <w:color w:val="292c2f"/>
          <w:highlight w:val="none"/>
          <w14:ligatures w14:val="none"/>
        </w:rPr>
        <w:t xml:space="preserve">На международных мероприятиях дружественные страны представляли дипломатические миссии. И, конечно, уровень экспертов и спикеров убеждает нас в том, что есть деятельные чиновники от законодательной и исполнительной власти, руководители технологических комп</w:t>
      </w:r>
      <w:r>
        <w:rPr>
          <w:b w:val="0"/>
          <w:bCs w:val="0"/>
          <w:color w:val="292c2f"/>
          <w:highlight w:val="none"/>
          <w14:ligatures w14:val="none"/>
        </w:rPr>
        <w:t xml:space="preserve">аний и бизнесмены, готовые действовать незамедлительно в интересах трансформации отрасли и достижения национальных целей»</w:t>
      </w:r>
      <w:r>
        <w:rPr>
          <w:b w:val="0"/>
          <w:bCs w:val="0"/>
          <w:color w:val="292c2f"/>
          <w:highlight w:val="none"/>
          <w14:ligatures w14:val="none"/>
        </w:rPr>
        <w:t xml:space="preserve">, – сказала ректор МИИГАиК.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ходе стратегической сессии «Научно-технологическая экосистема пространственных данных: настоящее и будущее» участники отметили успешные результаты работы по созданию и развитию Единой цифровой платформы «Национальная система пространственных данных». Как</w:t>
      </w:r>
      <w:r>
        <w:rPr>
          <w:b w:val="0"/>
          <w:bCs w:val="0"/>
          <w:color w:val="292c2f"/>
          <w:highlight w:val="none"/>
          <w14:ligatures w14:val="none"/>
        </w:rPr>
        <w:t xml:space="preserve"> сообщил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, в НСПД уже сейчас загружена информация из 27 федеральных и 79 региональных систем, в т.ч. материалов дистанционного зондирования Земли из информационной системы Госкорпорации «Роскосмос». Эти данные станут основой для принятия решений о территориальном п</w:t>
      </w:r>
      <w:r>
        <w:rPr>
          <w:b w:val="0"/>
          <w:bCs w:val="0"/>
          <w:color w:val="292c2f"/>
          <w:highlight w:val="none"/>
          <w14:ligatures w14:val="none"/>
        </w:rPr>
        <w:t xml:space="preserve">ланировании и пространственном развитии территорий, градостроительной деятельности, а также Портала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На выставке руководитель Росреестра и другие гости форума ознакомились с научными проектами университета, созданными совместно с академическими и производственными партнерами. Они осмотрели представленные передовые технологические решения и продукцию компа</w:t>
      </w:r>
      <w:r>
        <w:rPr>
          <w:b w:val="0"/>
          <w:bCs w:val="0"/>
          <w:color w:val="292c2f"/>
          <w:highlight w:val="none"/>
          <w14:ligatures w14:val="none"/>
        </w:rPr>
        <w:t xml:space="preserve">ний «ГСИ», «EFT GROUP», «Газпром космические системы», «Geoscan», СГУГиТ, госкорпорации «Роскосмос» и др. Было предложено организовать практическое тестирование разработок участников выставки, чтобы ускорить их внедрение в проекты развития.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8. </w:t>
      </w:r>
      <w:r>
        <w:rPr>
          <w:b/>
          <w:bCs/>
          <w:color w:val="292c2f"/>
          <w:highlight w:val="none"/>
          <w14:ligatures w14:val="none"/>
        </w:rPr>
        <w:t xml:space="preserve">Марат Хуснуллин провёл заседание наблюдательного совета ППК «Роскадастр».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Заместитель Председателя Правительства, председатель наблюдательного совета ППК «Роскадастр»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 Хуснуллин</w:t>
      </w:r>
      <w:r>
        <w:rPr>
          <w:b w:val="0"/>
          <w:bCs w:val="0"/>
          <w:color w:val="292c2f"/>
          <w:highlight w:val="none"/>
          <w14:ligatures w14:val="none"/>
        </w:rPr>
        <w:t xml:space="preserve"> провёл заседание совета, на котором рассмотрели отчёт о деятельности компании в 2024 году и I квартале 2025 года, а также планы до конца этого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«По итогам 2024 года ППК «Роскадастр» показала хорошие результаты, все установленные ключевые показатели эффективности достигнуты в полном объёме, 6 из 7 показателей перевыполнены. По результатам I квартала 2025 года также выполнены все показатели. Выручка</w:t>
      </w:r>
      <w:r>
        <w:rPr>
          <w:b w:val="0"/>
          <w:bCs w:val="0"/>
          <w:color w:val="292c2f"/>
          <w:highlight w:val="none"/>
          <w14:ligatures w14:val="none"/>
        </w:rPr>
        <w:t xml:space="preserve"> от приносящей доход деятельности компании по итогам 2024 года на 15% выше плановых показателей, чистая прибыль в 16 раз выше запланированной. В целом рентабельность от деятельности компании составила почти 11% – это неплохой результат. Также компания хоро</w:t>
      </w:r>
      <w:r>
        <w:rPr>
          <w:b w:val="0"/>
          <w:bCs w:val="0"/>
          <w:color w:val="292c2f"/>
          <w:highlight w:val="none"/>
          <w14:ligatures w14:val="none"/>
        </w:rPr>
        <w:t xml:space="preserve">шо справляется с задачами в сфере цифровой трансформации отрасли – так, например, единая цифровая платформа «Национальная система пространственных данных» успешно функционирует на территории страны. Но необходимо ещё больше сконцентрироваться на задаче по </w:t>
      </w:r>
      <w:r>
        <w:rPr>
          <w:b w:val="0"/>
          <w:bCs w:val="0"/>
          <w:color w:val="292c2f"/>
          <w:highlight w:val="none"/>
          <w14:ligatures w14:val="none"/>
        </w:rPr>
        <w:t xml:space="preserve">внедрению информационных технологий. Есть прямое поручение Председателя Правительства на базе НСПД сформировать единую базу пространственного развития. В целом хочу поблагодарить менеджмент компании за выполнение всех показателей и проделанную работу»,</w:t>
      </w:r>
      <w:r>
        <w:rPr>
          <w:b w:val="0"/>
          <w:bCs w:val="0"/>
          <w:color w:val="292c2f"/>
          <w:highlight w:val="none"/>
          <w14:ligatures w14:val="none"/>
        </w:rPr>
        <w:t xml:space="preserve"> –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Марат Хуснуллин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вице-премьер подчеркнул роль Роскадастра и Росреестра в развитии страны, в том числе в реализации национального проекта «Инфраструктура для жизни». Одна из основных стратегических целей – способствовать развитию регионов и капитализации земе</w:t>
      </w:r>
      <w:r>
        <w:rPr>
          <w:b w:val="0"/>
          <w:bCs w:val="0"/>
          <w:color w:val="292c2f"/>
          <w:highlight w:val="none"/>
          <w14:ligatures w14:val="none"/>
        </w:rPr>
        <w:t xml:space="preserve">льных ресурсов страны. Также он отметил важность масштабирования процесса сплошной инвентаризации недвижимости по всей стране, начиная с опорных пунктов, и усиления работы по внесению в ЕГРН субъектовых и федеральных объектов, а также по постановке на учёт</w:t>
      </w:r>
      <w:r>
        <w:rPr>
          <w:b w:val="0"/>
          <w:bCs w:val="0"/>
          <w:color w:val="292c2f"/>
          <w:highlight w:val="none"/>
          <w14:ligatures w14:val="none"/>
        </w:rPr>
        <w:t xml:space="preserve"> недвижимости в воссоединённых регионах.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начале 2024 года успешно завершено формирование ППК «Роскадастр» как предприятия полного цикла путём интеграции в состав компании АО «Роскартография».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«Создание компании стало значимым шагом в совершенствовании сферы земельно-имущественных отношений. Сегодня Роскадастр является неотъемлемой частью системы Большого Росреестра. Наша совместная работа обеспечивает эффективность управления земельными ресурса</w:t>
      </w:r>
      <w:r>
        <w:rPr>
          <w:b w:val="0"/>
          <w:bCs w:val="0"/>
          <w:color w:val="292c2f"/>
          <w:highlight w:val="none"/>
          <w14:ligatures w14:val="none"/>
        </w:rPr>
        <w:t xml:space="preserve">ми, позволяет выявлять новые территории для строительства жилья и развития туризма, повышать качество оказываемых услуг для граждан, бизнеса и государства»,</w:t>
      </w:r>
      <w:r>
        <w:rPr>
          <w:b w:val="0"/>
          <w:bCs w:val="0"/>
          <w:color w:val="292c2f"/>
          <w:highlight w:val="none"/>
          <w14:ligatures w14:val="none"/>
        </w:rPr>
        <w:t xml:space="preserve"> – отметил руководитель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Олег Скуфинский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  <w:br/>
      </w:r>
      <w:r>
        <w:rPr>
          <w:b w:val="0"/>
          <w:bCs w:val="0"/>
          <w:color w:val="292c2f"/>
          <w:highlight w:val="none"/>
          <w14:ligatures w14:val="none"/>
        </w:rPr>
        <w:t xml:space="preserve">Представляя отчёт о деятельности ППК «Роскадастр», генеральный директор компании </w:t>
      </w:r>
      <w:r>
        <w:rPr>
          <w:b w:val="0"/>
          <w:bCs w:val="0"/>
          <w:color w:val="292c2f"/>
          <w:highlight w:val="none"/>
          <w14:ligatures w14:val="none"/>
        </w:rPr>
        <w:t xml:space="preserve">Владислав Жданов</w:t>
      </w:r>
      <w:r>
        <w:rPr>
          <w:b w:val="0"/>
          <w:bCs w:val="0"/>
          <w:color w:val="292c2f"/>
          <w:highlight w:val="none"/>
          <w14:ligatures w14:val="none"/>
        </w:rPr>
        <w:t xml:space="preserve"> рассказал, что в рамках работы по наполнению ЕГРН полными и точными данными в 2024 году были определены координаты точек границ в целях исправления реестровых ошибок в отношении более 724 тыс. объектов недвижимости, оцифровано 95,39% материалов государств</w:t>
      </w:r>
      <w:r>
        <w:rPr>
          <w:b w:val="0"/>
          <w:bCs w:val="0"/>
          <w:color w:val="292c2f"/>
          <w:highlight w:val="none"/>
          <w14:ligatures w14:val="none"/>
        </w:rPr>
        <w:t xml:space="preserve">енного фонда данных.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прошлом году также были выполнены комплексные кадастровые работы в отношении 441,7 тыс. объектов недвижимости на территории 68 регионов. В 2025 году их планируют провести в отношении 4 млн объектов. На территории воссоединённых реги</w:t>
      </w:r>
      <w:r>
        <w:rPr>
          <w:b w:val="0"/>
          <w:bCs w:val="0"/>
          <w:color w:val="292c2f"/>
          <w:highlight w:val="none"/>
          <w14:ligatures w14:val="none"/>
        </w:rPr>
        <w:t xml:space="preserve">онов за прошедший год обследовано техническое состояние 22 240 объектов недвижимости, в ЕГРН внесены сведения в отношении более 753 тыс. ранее учтённых объектов, что на 84% выше плановых показателей.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Росреестром совместно с ППК «Роскадастр» и региональным</w:t>
      </w:r>
      <w:r>
        <w:rPr>
          <w:b w:val="0"/>
          <w:bCs w:val="0"/>
          <w:color w:val="292c2f"/>
          <w:highlight w:val="none"/>
          <w14:ligatures w14:val="none"/>
        </w:rPr>
        <w:t xml:space="preserve">и командами реализуется проект по вовлечению объектов недвижимости в экономический оборот. В 2024 году заключены соответствующие соглашения с 16 субъектами. По итогам I квартала 2025 года их число увеличилось до 23.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публично-правовая компания </w:t>
      </w:r>
      <w:r>
        <w:rPr>
          <w:b w:val="0"/>
          <w:bCs w:val="0"/>
          <w:color w:val="292c2f"/>
          <w:highlight w:val="none"/>
          <w14:ligatures w14:val="none"/>
        </w:rPr>
        <w:t xml:space="preserve">обеспечивает бесперебойную работу сервисов и информационных систем Росреестра.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«В 2025 году будет продолжена работа по повышению эффективности деятельности, оптимизации производственных и бизнес-процессов, развитию приоритетных направлений, обеспечивающих гарантированное исполнение государственных задач в сфере геодезии, картографии,</w:t>
      </w:r>
      <w:r>
        <w:rPr>
          <w:b w:val="0"/>
          <w:bCs w:val="0"/>
          <w:color w:val="292c2f"/>
          <w:highlight w:val="none"/>
          <w14:ligatures w14:val="none"/>
        </w:rPr>
        <w:t xml:space="preserve"> геоинформационных технологий, а также масштабированию деятельности в рамках сплошной инвентаризации. Помимо этого, мы планируем расширять сотрудничество по предоставлению сервисов, продуктов, услуг и комплексных решений на основе использования пространств</w:t>
      </w:r>
      <w:r>
        <w:rPr>
          <w:b w:val="0"/>
          <w:bCs w:val="0"/>
          <w:color w:val="292c2f"/>
          <w:highlight w:val="none"/>
          <w14:ligatures w14:val="none"/>
        </w:rPr>
        <w:t xml:space="preserve">енных данных в России и за рубежом, укреплять взаимодействие с федеральными и региональными органами власти, профессиональным и бизнес-сообществом в целях развития отрасли, а также в рамках компетенции и полномочий компании принимать активное участие в реа</w:t>
      </w:r>
      <w:r>
        <w:rPr>
          <w:b w:val="0"/>
          <w:bCs w:val="0"/>
          <w:color w:val="292c2f"/>
          <w:highlight w:val="none"/>
          <w14:ligatures w14:val="none"/>
        </w:rPr>
        <w:t xml:space="preserve">лизации нацпроекта «Инфраструктура для жизни», направленного на улучшение качества жизни граждан»,</w:t>
      </w:r>
      <w:r>
        <w:rPr>
          <w:b w:val="0"/>
          <w:bCs w:val="0"/>
          <w:color w:val="292c2f"/>
          <w:highlight w:val="none"/>
          <w14:ligatures w14:val="none"/>
        </w:rPr>
        <w:t xml:space="preserve"> – подчеркнул </w:t>
      </w:r>
      <w:r>
        <w:rPr>
          <w:b w:val="0"/>
          <w:bCs w:val="0"/>
          <w:color w:val="292c2f"/>
          <w:highlight w:val="none"/>
          <w14:ligatures w14:val="none"/>
        </w:rPr>
        <w:t xml:space="preserve">Владислав Жданов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9. </w:t>
      </w:r>
      <w:r>
        <w:rPr>
          <w:b/>
          <w:bCs/>
          <w:color w:val="292c2f"/>
          <w:highlight w:val="none"/>
          <w14:ligatures w14:val="none"/>
        </w:rPr>
        <w:t xml:space="preserve">Совет Федерации одобрил закон Росреестра о защите электронных сделок с помощью биометрических данных.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Совет Федерации одобрил разработанный Росреестром закон, который позволит использовать Единую биометрическую систему для подачи документов на регистрацию объектов недвижимости в электронном виде. Данное решение усилит безопасность сделок, проводимых в онла</w:t>
      </w:r>
      <w:r>
        <w:rPr>
          <w:b w:val="0"/>
          <w:bCs w:val="0"/>
          <w:color w:val="292c2f"/>
          <w:highlight w:val="none"/>
          <w14:ligatures w14:val="none"/>
        </w:rPr>
        <w:t xml:space="preserve">йн-режиме, а также обеспечит дополнительную защиту имущественных прав граждан.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Статс-секретарь - заместитель руководителя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, подчеркнул, что в настоящее время уже предусмотрена мера защиты от мошенничества при электронных сделках с недвижимостью - установлено обязательное письменное согласие собственника на государственную регистрацию права собственности на основании документо</w:t>
      </w:r>
      <w:r>
        <w:rPr>
          <w:b w:val="0"/>
          <w:bCs w:val="0"/>
          <w:color w:val="292c2f"/>
          <w:highlight w:val="none"/>
          <w14:ligatures w14:val="none"/>
        </w:rPr>
        <w:t xml:space="preserve">в, подготовленных в электронном виде. Для этого нужно дать разрешение лично, после чего в ЕГРН делается специальная отметка о возможности регистрации на основании документов, представленных в электронном виде и подписанных усиленной квалифицированной элект</w:t>
      </w:r>
      <w:r>
        <w:rPr>
          <w:b w:val="0"/>
          <w:bCs w:val="0"/>
          <w:color w:val="292c2f"/>
          <w:highlight w:val="none"/>
          <w14:ligatures w14:val="none"/>
        </w:rPr>
        <w:t xml:space="preserve">ронной подписью (УКЭП).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«Данным законом предусмотрена ещё одна мера защиты при электронных сделках с недвижимостью. В частности, граждане смогут подавать документы на регистрацию с помощью Единой биометрической системы, которая позволяет установить и подтвердить личность с исполь</w:t>
      </w:r>
      <w:r>
        <w:rPr>
          <w:b w:val="0"/>
          <w:bCs w:val="0"/>
          <w:color w:val="292c2f"/>
          <w:highlight w:val="none"/>
          <w14:ligatures w14:val="none"/>
        </w:rPr>
        <w:t xml:space="preserve">зованием биометрических персональных данных физических лиц. Этот механизм будет применяться в дополнение к УКЭП, которая уже обеспечивает надёжность процесса регистрации прав собственности. А сочетание двух факторов обеспечит высокий уровень безопасности т</w:t>
      </w:r>
      <w:r>
        <w:rPr>
          <w:b w:val="0"/>
          <w:bCs w:val="0"/>
          <w:color w:val="292c2f"/>
          <w:highlight w:val="none"/>
          <w14:ligatures w14:val="none"/>
        </w:rPr>
        <w:t xml:space="preserve">аких сделок и защиту граждан от мошеннических действий с недвижимостью. Кроме того, это очередной шаг на пути цифровизации, что сократит сроки получения услуг Росреестра и сделает их еще более удобными для наших пользователей»,</w:t>
      </w:r>
      <w:r>
        <w:rPr>
          <w:b w:val="0"/>
          <w:bCs w:val="0"/>
          <w:color w:val="292c2f"/>
          <w:highlight w:val="none"/>
          <w14:ligatures w14:val="none"/>
        </w:rPr>
        <w:t xml:space="preserve"> - сказал </w:t>
      </w:r>
      <w:r>
        <w:rPr>
          <w:b w:val="0"/>
          <w:bCs w:val="0"/>
          <w:color w:val="292c2f"/>
          <w:highlight w:val="none"/>
          <w14:ligatures w14:val="none"/>
        </w:rPr>
        <w:t xml:space="preserve">Алексей Бутовецкий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Необходимые изменения будут внесены в статью 36.2 Федерального закона «О государственной регистрации недвижимости». Вступление в силу предлагаемых положений запланировано на 1 июля 2026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10.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Более 200 тыс. обращений и сообщений обработал Росреестр за I квартал 2025 года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За период с января по март 2025 года команда Большого Росреестра рассмотрела более 200 тыс. обращений, что составило порядка 3,4 тыс. обращений в день.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Более 89 тыс. обращений поступило в Росреестр и ППК «Роскадастр» посредством основных каналов (электрон</w:t>
      </w:r>
      <w:r>
        <w:rPr>
          <w:b w:val="0"/>
          <w:bCs w:val="0"/>
          <w:color w:val="292c2f"/>
          <w:highlight w:val="none"/>
          <w14:ligatures w14:val="none"/>
        </w:rPr>
        <w:t xml:space="preserve">ная форма направления обращений на официальном сайте Росреестра, почтовая связь, приемные Росреестра).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Почти 96,4% всех обращений граждан рассмотрены положительно: вопросы заявителей решены или по ним даны детальные разъяснения.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Всего 2,5% обращений призн</w:t>
      </w:r>
      <w:r>
        <w:rPr>
          <w:b w:val="0"/>
          <w:bCs w:val="0"/>
          <w:color w:val="292c2f"/>
          <w:highlight w:val="none"/>
          <w14:ligatures w14:val="none"/>
        </w:rPr>
        <w:t xml:space="preserve">аны необоснованными, на 0,9% ответы не направлялись в связи с отсутствием сути обращения. По 0,2% запросов предоставлена информация ответственному органу.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Результаты рассмотрения обращений граждан за I квартал 2025 года: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Чаще всего заявители обращались по вопросам государственной регистрации прав на недвижимое имущество и сделок с ним, государственного кадастрового учета и предоставления сведений Единого государственного реестра недвижимости (54% обращений).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Чуть реже — п</w:t>
      </w:r>
      <w:r>
        <w:rPr>
          <w:b w:val="0"/>
          <w:bCs w:val="0"/>
          <w:color w:val="292c2f"/>
          <w:highlight w:val="none"/>
          <w14:ligatures w14:val="none"/>
        </w:rPr>
        <w:t xml:space="preserve">о вопросам контроля за деятельностью СРО арбитражных управляющих (6,8%), земельного контроля (надзора) (6,5%), землеустройства, землеустроительного процесса, установления границ, мониторинга земель, кадастровой деятельности, деятельности кадастровых инжене</w:t>
      </w:r>
      <w:r>
        <w:rPr>
          <w:b w:val="0"/>
          <w:bCs w:val="0"/>
          <w:color w:val="292c2f"/>
          <w:highlight w:val="none"/>
          <w14:ligatures w14:val="none"/>
        </w:rPr>
        <w:t xml:space="preserve">ров (3,1%), государственной кадастровой оценки объектов недвижимости (2,2%).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Тематика обращений граждан в Росреестр.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Более  100 тыс. обращений поступило в Росреестр и ППК «Роскадастр» посредством платформы обратной связи (ПОС), электронная форма которой размещена на </w:t>
      </w:r>
      <w:hyperlink r:id="rId21" w:tooltip="https://pos.gosuslugi.ru/landing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едином портале Госуслуг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 и на </w:t>
      </w:r>
      <w:hyperlink r:id="rId22" w:tooltip="https://rosreestr.gov.ru/feedback/poryadok-rassmotreniya/" w:history="1">
        <w:r>
          <w:rPr>
            <w:b w:val="0"/>
            <w:bCs w:val="0"/>
            <w:color w:val="292c2f"/>
            <w:highlight w:val="none"/>
            <w14:ligatures w14:val="none"/>
          </w:rPr>
          <w:t xml:space="preserve">официальном сайте Росреестра</w:t>
        </w:r>
      </w:hyperlink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98,2 % вопросов заявителей, поступивших посредством сервиса ПОС, решены, 1,8% признаны необоснованными.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94,4% обращений рассмотрены в ускоренные сроки - до 10 дней. В среднем рассмотрение сообщений посредством сервиса платформы занимает четыре дня.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Результаты рассмотрения сообщений и обращений граждан в ПОС.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Преимущественное большинство сообщений и обращений, поступивших посредством платформы обратной связи, содержали вопросы о предоставлении сведений из Единого государственного реестра недвижимости (93,5%), реже поступали вопросы о государственной регистрации</w:t>
      </w:r>
      <w:r>
        <w:rPr>
          <w:b w:val="0"/>
          <w:bCs w:val="0"/>
          <w:color w:val="292c2f"/>
          <w:highlight w:val="none"/>
          <w14:ligatures w14:val="none"/>
        </w:rPr>
        <w:t xml:space="preserve"> прав и государственного кадастрового учета (3,3%) и иной деятельности Росреестра (3,2%).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Тематика сообщений и обращений граждан в ПОС.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Для повышения качества предоставления государственных услуг и оценки качества удовлетворенности граждан работой Росреестра проводятся опросы. Они размещаются в разделе «Общественное голосование» на Портале госуслуг «Мой выбор, мое будущее».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I квартале 2</w:t>
      </w:r>
      <w:r>
        <w:rPr>
          <w:b w:val="0"/>
          <w:bCs w:val="0"/>
          <w:color w:val="292c2f"/>
          <w:highlight w:val="none"/>
          <w14:ligatures w14:val="none"/>
        </w:rPr>
        <w:t xml:space="preserve">025 года размещено два опроса по оценке качества рассмотрения обращений и организации личного приема граждан, к которым привлечено почти 17 тыс. респондентов: </w:t>
      </w:r>
      <w:r>
        <w:rPr>
          <w:b w:val="0"/>
          <w:bCs w:val="0"/>
          <w:color w:val="292c2f"/>
          <w:highlight w:val="none"/>
          <w14:ligatures w14:val="none"/>
        </w:rPr>
        <w:t xml:space="preserve">98% </w:t>
      </w:r>
      <w:r>
        <w:rPr>
          <w:b w:val="0"/>
          <w:bCs w:val="0"/>
          <w:color w:val="292c2f"/>
          <w:highlight w:val="none"/>
          <w14:ligatures w14:val="none"/>
        </w:rPr>
        <w:t xml:space="preserve">из них оказались </w:t>
      </w:r>
      <w:r>
        <w:rPr>
          <w:b w:val="0"/>
          <w:bCs w:val="0"/>
          <w:color w:val="292c2f"/>
          <w:highlight w:val="none"/>
          <w14:ligatures w14:val="none"/>
        </w:rPr>
        <w:t xml:space="preserve">удовлетворены</w:t>
      </w:r>
      <w:r>
        <w:rPr>
          <w:b w:val="0"/>
          <w:bCs w:val="0"/>
          <w:color w:val="292c2f"/>
          <w:highlight w:val="none"/>
          <w14:ligatures w14:val="none"/>
        </w:rPr>
        <w:t xml:space="preserve"> качеством ответов, а </w:t>
      </w:r>
      <w:r>
        <w:rPr>
          <w:b w:val="0"/>
          <w:bCs w:val="0"/>
          <w:color w:val="292c2f"/>
          <w:highlight w:val="none"/>
          <w14:ligatures w14:val="none"/>
        </w:rPr>
        <w:t xml:space="preserve">98%</w:t>
      </w:r>
      <w:r>
        <w:rPr>
          <w:b w:val="0"/>
          <w:bCs w:val="0"/>
          <w:color w:val="292c2f"/>
          <w:highlight w:val="none"/>
          <w14:ligatures w14:val="none"/>
        </w:rPr>
        <w:t xml:space="preserve"> респондентов отметили, что </w:t>
      </w:r>
      <w:r>
        <w:rPr>
          <w:b w:val="0"/>
          <w:bCs w:val="0"/>
          <w:color w:val="292c2f"/>
          <w:highlight w:val="none"/>
          <w14:ligatures w14:val="none"/>
        </w:rPr>
        <w:t xml:space="preserve">получили </w:t>
      </w:r>
      <w:r>
        <w:rPr>
          <w:b w:val="0"/>
          <w:bCs w:val="0"/>
          <w:color w:val="292c2f"/>
          <w:highlight w:val="none"/>
          <w14:ligatures w14:val="none"/>
        </w:rPr>
        <w:t xml:space="preserve">реальную помощь в ходе личного приема.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11.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на форуме «Мастор» в Саранске рассказал о перспективах внедрения НСПД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столице Мордовии Саранске состоялось одно из ключевых событий в земельно-имущественной сфере — форум «Мастор». Участие в мероприятии приняли заместитель руководителя Росреестра Татьяна Громова и заместитель начальника Управления стратегического развития и</w:t>
      </w:r>
      <w:r>
        <w:rPr>
          <w:b w:val="0"/>
          <w:bCs w:val="0"/>
          <w:color w:val="292c2f"/>
          <w:highlight w:val="none"/>
          <w14:ligatures w14:val="none"/>
        </w:rPr>
        <w:t xml:space="preserve"> цифровой трансформации Росреестра Сергей Щеглов.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этом году форум впервые получил международный статус, собрав представителей из Беларуси, Таджикистана, Турции, ОАЭ, ЮАР, а также органов государственной власти более чем 50 регионов России.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Пленарное заседание началось с приветственного выступления главы Республики Мордовия Артёма Здунова, отметившего значимость форума как площадки для обмена практиками в сфере землепользования и кадастровой политики.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Мордовия активно сотрудничает с Росреестром, который организовал процесс объединения всех цифровых систем, использующих геопространственные данные, на единой платформе — Национальной системе пространственных данных (НСПД). Республика вошла в проект в качес</w:t>
      </w:r>
      <w:r>
        <w:rPr>
          <w:b w:val="0"/>
          <w:bCs w:val="0"/>
          <w:color w:val="292c2f"/>
          <w:highlight w:val="none"/>
          <w14:ligatures w14:val="none"/>
        </w:rPr>
        <w:t xml:space="preserve">т</w:t>
      </w:r>
      <w:r>
        <w:rPr>
          <w:b w:val="0"/>
          <w:bCs w:val="0"/>
          <w:color w:val="292c2f"/>
          <w:highlight w:val="none"/>
          <w14:ligatures w14:val="none"/>
        </w:rPr>
        <w:t xml:space="preserve">ве пилотного региона в 2023 году. Мы уже интегрировали в НСПД ряд региональных информационных систем, работу продолжаем. Регион на своем уровне окажет поддержку федеральным коллегам, чтобы данные были достоверны и ими можно было пользоваться. В том числе д</w:t>
      </w:r>
      <w:r>
        <w:rPr>
          <w:b w:val="0"/>
          <w:bCs w:val="0"/>
          <w:color w:val="292c2f"/>
          <w:highlight w:val="none"/>
          <w14:ligatures w14:val="none"/>
        </w:rPr>
        <w:t xml:space="preserve">ля привлечения инвесторов и гарантии безопасности. Это наш налоговый потенциал, инвестиционный потенциал», – сказал Артём Здунов.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Татьяна Громова поблагодарила коллег из федеральных и региональных органов власти за достигнутые в ходе сотрудничества высокие результаты по реализации проекта НСПД.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Мы взаимодействуем с органами власти и профессиональными участниками рынка недвижимости, госкорпорациями и крупными правообладателями. Также активно подключены к процессу малый и средний бизнес. Мы создаем удобные решения для работы с пространственными дан</w:t>
      </w: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ыми, прежде всего для людей, а также для бизнеса и государства. Пользовательская активность Единой цифровой платформы НСПД составляет порядка 5 млн посещений ежемесячно. В НСПД собираются только юридически значимые данные, качество которых обеспечено, за н</w:t>
      </w:r>
      <w:r>
        <w:rPr>
          <w:b w:val="0"/>
          <w:bCs w:val="0"/>
          <w:color w:val="292c2f"/>
          <w:highlight w:val="none"/>
          <w14:ligatures w14:val="none"/>
        </w:rPr>
        <w:t xml:space="preserve">и</w:t>
      </w:r>
      <w:r>
        <w:rPr>
          <w:b w:val="0"/>
          <w:bCs w:val="0"/>
          <w:color w:val="292c2f"/>
          <w:highlight w:val="none"/>
          <w14:ligatures w14:val="none"/>
        </w:rPr>
        <w:t xml:space="preserve">х отвечают соответствующие структуры, которые эти данные передают. Подсистема международного взаимодействия НСПД обеспечивает наполнение базовыми и тематическими наборами данных Геопортала инфраструктуры пространственных данных государств – участников СНГ.</w:t>
      </w:r>
      <w:r>
        <w:rPr>
          <w:b w:val="0"/>
          <w:bCs w:val="0"/>
          <w:color w:val="292c2f"/>
          <w:highlight w:val="none"/>
          <w14:ligatures w14:val="none"/>
        </w:rPr>
        <w:t xml:space="preserve"> </w:t>
      </w:r>
      <w:r>
        <w:rPr>
          <w:b w:val="0"/>
          <w:bCs w:val="0"/>
          <w:color w:val="292c2f"/>
          <w:highlight w:val="none"/>
          <w14:ligatures w14:val="none"/>
        </w:rPr>
        <w:t xml:space="preserve">Этот проект сегодня объединяет 7 стран: Армению, Беларусь, Казахстан, Киргизию, Россию, Таджикистан и Узбекистан. В 2023 году сформированы правовые основы для его реализации – главами правительств указанных государств утверждена отраслевая программа сотруд</w:t>
      </w:r>
      <w:r>
        <w:rPr>
          <w:b w:val="0"/>
          <w:bCs w:val="0"/>
          <w:color w:val="292c2f"/>
          <w:highlight w:val="none"/>
          <w14:ligatures w14:val="none"/>
        </w:rPr>
        <w:t xml:space="preserve">ничества до 2026 года, в рамках которой в том числе осуществляется создание Геопортала СНГ. И реализует эту задачу ППК «Роскадастр» под руководством Росреестра», – сказала Татьяна Громова.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Сергей Щеглов рассказал, как развитие НСПД повлияет на модернизацию госуслуг и цифровых решений в сфере земли и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Полнота и качество данных в региональных информационных системах после интеграции с Единой цифровой платформой обеспечат полноту данных в НСПД, а комплексные пространственные данные из источников разного уровня позволят региональным и муниципальным органам</w:t>
      </w:r>
      <w:r>
        <w:rPr>
          <w:b w:val="0"/>
          <w:bCs w:val="0"/>
          <w:color w:val="292c2f"/>
          <w:highlight w:val="none"/>
          <w14:ligatures w14:val="none"/>
        </w:rPr>
        <w:t xml:space="preserve"> </w:t>
      </w:r>
      <w:r>
        <w:rPr>
          <w:b w:val="0"/>
          <w:bCs w:val="0"/>
          <w:color w:val="292c2f"/>
          <w:highlight w:val="none"/>
          <w14:ligatures w14:val="none"/>
        </w:rPr>
        <w:t xml:space="preserve">власти принимать правильные и эффективные решения в сфере земли, недвижимости и развития территорий. Совмещение данных федеральных систем и систем регионов позволит оказывать услуги в цифровом виде, сократить отказы и ошибки в предоставлении услуг. Другое </w:t>
      </w: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аправление, которое также повышает инвестиционную привлекательность любого региона, это сервисы НСПД — «Земля для стройки», «Земля для туризма», «Земля для фермера». Каждый регион должен заботиться о том, чтобы максимально широко представить доступ к инфор</w:t>
      </w:r>
      <w:r>
        <w:rPr>
          <w:b w:val="0"/>
          <w:bCs w:val="0"/>
          <w:color w:val="292c2f"/>
          <w:highlight w:val="none"/>
          <w14:ligatures w14:val="none"/>
        </w:rPr>
        <w:t xml:space="preserve">мации о своих объектах потенциальным инвесторам. НСПД дает такую возможность и инструменты и уже имеет многомиллионную посещаемость», – отметил он.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</w:t>
      </w:r>
      <w:r>
        <w:rPr>
          <w:b w:val="0"/>
          <w:bCs w:val="0"/>
          <w:color w:val="292c2f"/>
          <w:highlight w:val="none"/>
          <w14:ligatures w14:val="none"/>
        </w:rPr>
        <w:t xml:space="preserve">ервый заместитель генерального директора АО «Терра Тех» (Госкорпорация «Роскосмос») Максим Болтачев в своем докладе рассказал о перспективах сотрудничества с Росреестром в целях наполнения НСПД данными дистанционного зондирования Земли и аналитической инфо</w:t>
      </w:r>
      <w:r>
        <w:rPr>
          <w:b w:val="0"/>
          <w:bCs w:val="0"/>
          <w:color w:val="292c2f"/>
          <w:highlight w:val="none"/>
          <w14:ligatures w14:val="none"/>
        </w:rPr>
        <w:t xml:space="preserve">рмацией из платформы «Цифровая Земля».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В масштабах России космос становится единственным инструментом, позволяющим анализировать процессы, происходящие на 17 с лишним млн кв. км. нашей территории, и проводить комплексный мониторинг территорий и ресурсов для социально-экономического развития рег</w:t>
      </w:r>
      <w:r>
        <w:rPr>
          <w:b w:val="0"/>
          <w:bCs w:val="0"/>
          <w:color w:val="292c2f"/>
          <w:highlight w:val="none"/>
          <w14:ligatures w14:val="none"/>
        </w:rPr>
        <w:t xml:space="preserve">и</w:t>
      </w:r>
      <w:r>
        <w:rPr>
          <w:b w:val="0"/>
          <w:bCs w:val="0"/>
          <w:color w:val="292c2f"/>
          <w:highlight w:val="none"/>
          <w14:ligatures w14:val="none"/>
        </w:rPr>
        <w:t xml:space="preserve">онов России. Между Росреестром и Роскосмосом подписано соглашение об информационном взаимодействии, которое позволит в режиме реального времени получать сведения дистанционного зондирования Земли для наполнения Национальной системы пространственных данных.</w:t>
      </w:r>
      <w:r>
        <w:rPr>
          <w:b w:val="0"/>
          <w:bCs w:val="0"/>
          <w:color w:val="292c2f"/>
          <w:highlight w:val="none"/>
          <w14:ligatures w14:val="none"/>
        </w:rPr>
        <w:t xml:space="preserve"> Согласована дорожная карта, в рамках которой мы определим, каким образом, какая информация и с какой периодичностью будет между двумя системами предоставляться», - сказал он.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М</w:t>
      </w:r>
      <w:r>
        <w:rPr>
          <w:b w:val="0"/>
          <w:bCs w:val="0"/>
          <w:color w:val="292c2f"/>
          <w:highlight w:val="none"/>
          <w14:ligatures w14:val="none"/>
        </w:rPr>
        <w:t xml:space="preserve">ероприятие прошло в формате пленарной сессии, панельных секций и круглых столов. Основные темы форума были посвящены наполнению НСПД полными и точными сведениями, комплексному развитию территорий, внедрению цифровизации при управлении имуществом и земельны</w:t>
      </w:r>
      <w:r>
        <w:rPr>
          <w:b w:val="0"/>
          <w:bCs w:val="0"/>
          <w:color w:val="292c2f"/>
          <w:highlight w:val="none"/>
          <w14:ligatures w14:val="none"/>
        </w:rPr>
        <w:t xml:space="preserve">ми ресурсами и вовлечению объектов недвижимости в экономический оборот.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Участники форума получили возможность познакомиться с новыми решениями и инструментами, обсудить проблемы и перспективы российского законодательства, а также перенять опыт зарубежных коллег и поделиться своим.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12.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В Госдуму внесены поправки ко второму чтению законопроекта о порядке изменения видов разрешенного использования земель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</w:t>
      </w:r>
      <w:r>
        <w:rPr>
          <w:b w:val="0"/>
          <w:bCs w:val="0"/>
          <w:color w:val="292c2f"/>
          <w:highlight w:val="none"/>
          <w14:ligatures w14:val="none"/>
        </w:rPr>
        <w:t xml:space="preserve">равительство РФ одобрило подготовленные Росреестром поправки ко второму чтению законопроекта, который призван устранить правовую неопределенность в вопросах изменения видов разрешенного использования земельных участков. В настоящее время проект поправок вн</w:t>
      </w:r>
      <w:r>
        <w:rPr>
          <w:b w:val="0"/>
          <w:bCs w:val="0"/>
          <w:color w:val="292c2f"/>
          <w:highlight w:val="none"/>
          <w14:ligatures w14:val="none"/>
        </w:rPr>
        <w:t xml:space="preserve">есен в Государственную Думу.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</w:t>
      </w:r>
      <w:r>
        <w:rPr>
          <w:b w:val="0"/>
          <w:bCs w:val="0"/>
          <w:color w:val="292c2f"/>
          <w:highlight w:val="none"/>
          <w14:ligatures w14:val="none"/>
        </w:rPr>
        <w:t xml:space="preserve">егодня в законодательстве не урегулированы вопросы в части порядка установления вида разрешенного использования земельных участков – например, в границах земель лесного фонда, земель общего пользования, сельскохозяйственных угодий, территорий объектов куль</w:t>
      </w:r>
      <w:r>
        <w:rPr>
          <w:b w:val="0"/>
          <w:bCs w:val="0"/>
          <w:color w:val="292c2f"/>
          <w:highlight w:val="none"/>
          <w14:ligatures w14:val="none"/>
        </w:rPr>
        <w:t xml:space="preserve">турного наследия, для целей недропользования.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Это масштабный законопроект, работа над которым велась на протяжении нескольких лет. Мы проанализировали существующую правоприменительную практику и предложили меры, которые снимут целый ряд противоречий, возникающих при определении разрешенного использова</w:t>
      </w: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ия земельных участков. Предусмотрены комплексные изменения в ряд федеральных законов, благодаря чему будет установлен единообразный подход при определении видов разрешенного использования земель. Это также позволит устранить административные барьеры для гр</w:t>
      </w:r>
      <w:r>
        <w:rPr>
          <w:b w:val="0"/>
          <w:bCs w:val="0"/>
          <w:color w:val="292c2f"/>
          <w:highlight w:val="none"/>
          <w14:ligatures w14:val="none"/>
        </w:rPr>
        <w:t xml:space="preserve">а</w:t>
      </w:r>
      <w:r>
        <w:rPr>
          <w:b w:val="0"/>
          <w:bCs w:val="0"/>
          <w:color w:val="292c2f"/>
          <w:highlight w:val="none"/>
          <w14:ligatures w14:val="none"/>
        </w:rPr>
        <w:t xml:space="preserve">ждан, застройщиков и органов власти в сфере земельных отношений, сделает ряд процедур более прозрачными, доступными и понятными, будет способствовать вовлечению земельных участков в гражданский оборот и сокращению инвестиционно-строительного цикла», - сказ</w:t>
      </w:r>
      <w:r>
        <w:rPr>
          <w:b w:val="0"/>
          <w:bCs w:val="0"/>
          <w:color w:val="292c2f"/>
          <w:highlight w:val="none"/>
          <w14:ligatures w14:val="none"/>
        </w:rPr>
        <w:t xml:space="preserve">ал руководитель Росреестра Олег Скуфинский.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частности, в законопроекте прописаны документы, которыми определяются виды разрешенного использования земельных участков - градостроительный регламент, лесохозяйственный регламент и положение об особо охраняемой природной территории.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Устанавливается порядок изменения видов разрешенного использования земельных участков – кто, как и при каких условиях может выбрать вид разрешенного использования участка.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</w:t>
      </w:r>
      <w:r>
        <w:rPr>
          <w:b w:val="0"/>
          <w:bCs w:val="0"/>
          <w:color w:val="292c2f"/>
          <w:highlight w:val="none"/>
          <w14:ligatures w14:val="none"/>
        </w:rPr>
        <w:t xml:space="preserve">пределены случаи, когда использование земельных участков допускается вне зависимости от установленных вида или видов разрешенного использования. Например, для размещения геодезических пунктов, нивелирных пунктов, возведения некапитальных строений и сооруже</w:t>
      </w:r>
      <w:r>
        <w:rPr>
          <w:b w:val="0"/>
          <w:bCs w:val="0"/>
          <w:color w:val="292c2f"/>
          <w:highlight w:val="none"/>
          <w14:ligatures w14:val="none"/>
        </w:rPr>
        <w:t xml:space="preserve">ний (включая ограждения, бытовки, навесы).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</w:t>
      </w:r>
      <w:r>
        <w:rPr>
          <w:b w:val="0"/>
          <w:bCs w:val="0"/>
          <w:color w:val="292c2f"/>
          <w:highlight w:val="none"/>
          <w14:ligatures w14:val="none"/>
        </w:rPr>
        <w:t xml:space="preserve">акже прописаны случаи, когда разрешенное использование земельного участка устанавливается не регламентом использования земель, а документацией по планировке территории. Это касается размещения линейных объектов, участков в границах особой экономической зон</w:t>
      </w:r>
      <w:r>
        <w:rPr>
          <w:b w:val="0"/>
          <w:bCs w:val="0"/>
          <w:color w:val="292c2f"/>
          <w:highlight w:val="none"/>
          <w14:ligatures w14:val="none"/>
        </w:rPr>
        <w:t xml:space="preserve">ы, инновационных научно-технологических центров и территорий опережающего социально-экономического развития.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</w:t>
      </w:r>
      <w:r>
        <w:rPr>
          <w:b w:val="0"/>
          <w:bCs w:val="0"/>
          <w:color w:val="292c2f"/>
          <w:highlight w:val="none"/>
          <w14:ligatures w14:val="none"/>
        </w:rPr>
        <w:t xml:space="preserve">анная мера в том числе положительно повлияет на строительный процесс, поскольку линейные сооружения можно будет строить на любом участке независимо от его вида разрешенного использования. Это позволит сократить сроки строительства и упростить процесс техпр</w:t>
      </w:r>
      <w:r>
        <w:rPr>
          <w:b w:val="0"/>
          <w:bCs w:val="0"/>
          <w:color w:val="292c2f"/>
          <w:highlight w:val="none"/>
          <w14:ligatures w14:val="none"/>
        </w:rPr>
        <w:t xml:space="preserve">исоединения объектов капитального строительства к сетям. Кроме того, введение «универсальных видов разрешенного использования» облегчит и сэкономит бюджетные средства на подготовку и изменение правил землепользования и застройки.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Применительно к землям сельскохозяйственного назначения вводятся переходные положения по изменению видов разрешенного использования земельных участков, которые являются сельскохозяйственными угодьями.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13.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на ПМЭФ-2025 проведет панельную дискуссию о вовлечении в оборот неиспользуемых земель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 19 июня на полях Петербургского международного экономического форума проведет панельную дискуссию «Земельные ресурсы страны: экономический потенциал».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Модератором дискуссии станет генеральный директор Московского фонда реновации жилой застройки Максим Степанов.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</w:t>
      </w:r>
      <w:r>
        <w:rPr>
          <w:b w:val="0"/>
          <w:bCs w:val="0"/>
          <w:color w:val="292c2f"/>
          <w:highlight w:val="none"/>
          <w14:ligatures w14:val="none"/>
        </w:rPr>
        <w:t xml:space="preserve">частники обсудят новые парадигмы управления земельными ресурсами в условиях современных геополитических вызовов. Главной темой станет реализация в ряде российских регионов проекта по выявлению и вовлечению в оборот неиспользуемых земель, который обеспечит </w:t>
      </w:r>
      <w:r>
        <w:rPr>
          <w:b w:val="0"/>
          <w:bCs w:val="0"/>
          <w:color w:val="292c2f"/>
          <w:highlight w:val="none"/>
          <w14:ligatures w14:val="none"/>
        </w:rPr>
        <w:t xml:space="preserve">ряд социально-экономических преимуществ: эффективное использование земельных ресурсов страны, полноту и качество сведений ЕГРН, защиту имущественных прав граждан.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Будут затронуты вопросы о законодательных изменениях и цифровых сервисах, внедряемых в рамках проекта, а также о новых возможностях, которые открываются для граждан, бизнеса и государства при вовлечении неиспользуемых земель в оборот.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</w:t>
      </w:r>
      <w:r>
        <w:rPr>
          <w:b w:val="0"/>
          <w:bCs w:val="0"/>
          <w:color w:val="292c2f"/>
          <w:highlight w:val="none"/>
          <w14:ligatures w14:val="none"/>
        </w:rPr>
        <w:t xml:space="preserve"> докладами выступят - руководитель Росреестра Олег Скуфинский, заместитель Министра строительства и жилищно-коммунального хозяйства РФ Никита Стасишин, заместитель Министра сельского хозяйства РФ Андрей Разин, губернатор Сахалинской области Валерий Лимарен</w:t>
      </w:r>
      <w:r>
        <w:rPr>
          <w:b w:val="0"/>
          <w:bCs w:val="0"/>
          <w:color w:val="292c2f"/>
          <w:highlight w:val="none"/>
          <w14:ligatures w14:val="none"/>
        </w:rPr>
        <w:t xml:space="preserve">к</w:t>
      </w:r>
      <w:r>
        <w:rPr>
          <w:b w:val="0"/>
          <w:bCs w:val="0"/>
          <w:color w:val="292c2f"/>
          <w:highlight w:val="none"/>
          <w14:ligatures w14:val="none"/>
        </w:rPr>
        <w:t xml:space="preserve">о, председатель Палаты государственных кадастров Агентства по кадастру при Министерстве экономики и финансов Республики Узбекистан Мохир Валиев, директор Республиканской геодезической службы Сербии Борко Драшкович и заместитель Главного геодезиста Индии Па</w:t>
      </w:r>
      <w:r>
        <w:rPr>
          <w:b w:val="0"/>
          <w:bCs w:val="0"/>
          <w:color w:val="292c2f"/>
          <w:highlight w:val="none"/>
          <w14:ligatures w14:val="none"/>
        </w:rPr>
        <w:t xml:space="preserve">рдип Сингх.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</w:t>
      </w:r>
      <w:r>
        <w:rPr>
          <w:b w:val="0"/>
          <w:bCs w:val="0"/>
          <w:color w:val="292c2f"/>
          <w:highlight w:val="none"/>
          <w14:ligatures w14:val="none"/>
        </w:rPr>
        <w:t xml:space="preserve">акже участниками дискуссии станут генеральный директор ППК «Роскадастр» Владислав Жданов, управляющий директор АО «ДОМ.РФ» Анатолий Азизов, ректор Московского государственного университета геодезии и картографии Надежда Камынина и глава аппарата Государств</w:t>
      </w:r>
      <w:r>
        <w:rPr>
          <w:b w:val="0"/>
          <w:bCs w:val="0"/>
          <w:color w:val="292c2f"/>
          <w:highlight w:val="none"/>
          <w14:ligatures w14:val="none"/>
        </w:rPr>
        <w:t xml:space="preserve">енной службы имущественных вопросов при Министерстве экономики Азербайджанской Республики Камран Улуханов.</w:t>
      </w:r>
      <w:r/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14. </w:t>
      </w:r>
      <w:r>
        <w:rPr>
          <w:b/>
          <w:bCs/>
          <w:color w:val="292c2f"/>
          <w:highlight w:val="none"/>
          <w14:ligatures w14:val="none"/>
        </w:rPr>
        <w:t xml:space="preserve">Правительство РФ утвердило перечень госуслуг, при оказании которых используется НСПД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</w:t>
      </w:r>
      <w:r>
        <w:rPr>
          <w:b w:val="0"/>
          <w:bCs w:val="0"/>
          <w:color w:val="292c2f"/>
          <w:highlight w:val="none"/>
          <w14:ligatures w14:val="none"/>
        </w:rPr>
        <w:t xml:space="preserve">равительство РФ утвердило перечень государственных и муниципальных услуг, для предоставления которых должны использоваться пространственные данные из Единой цифровой платформы «Национальная система пространственных данных» (ФГИС ЕЦП НСПД). Соответствующее </w:t>
      </w:r>
      <w:r>
        <w:rPr>
          <w:b w:val="0"/>
          <w:bCs w:val="0"/>
          <w:color w:val="292c2f"/>
          <w:highlight w:val="none"/>
          <w14:ligatures w14:val="none"/>
        </w:rPr>
        <w:t xml:space="preserve">Постановление от 30.05.2025 № 791 подписал Председатель Правительства РФ Михаил Мишустин.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Проект Постановления разработан Росреестром в рамках реализации Федерального закона № 317-ФЗ от 08.08.2024, который предусматривает обязательное использование ФГИС ЕЦП НСПД органами публичной власти для предоставления государственных и муниципальных услуг.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При оказании услуг, которые закреплены в перечне, будут использоваться пространственные данные и сведения ФГИС ЕЦП НСПД. Изменения позволят повысить достоверность и качество оборота пространственных данных в сфере земли и недвижимости», - сказал статс-секр</w:t>
      </w:r>
      <w:r>
        <w:rPr>
          <w:b w:val="0"/>
          <w:bCs w:val="0"/>
          <w:color w:val="292c2f"/>
          <w:highlight w:val="none"/>
          <w14:ligatures w14:val="none"/>
        </w:rPr>
        <w:t xml:space="preserve">етарь – заместитель руководителя Росреестра Алексей Бутовецкий.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частности, в перечень включено более 120 услуг, среди которых в том числе такие популярные, как государственный кадастровый учет и регистрация прав на недвижимость, предоставление в аренду или собственность земельных участков, находящихся в государственно</w:t>
      </w:r>
      <w:r>
        <w:rPr>
          <w:b w:val="0"/>
          <w:bCs w:val="0"/>
          <w:color w:val="292c2f"/>
          <w:highlight w:val="none"/>
          <w14:ligatures w14:val="none"/>
        </w:rPr>
        <w:t xml:space="preserve">й</w:t>
      </w:r>
      <w:r>
        <w:rPr>
          <w:b w:val="0"/>
          <w:bCs w:val="0"/>
          <w:color w:val="292c2f"/>
          <w:highlight w:val="none"/>
          <w14:ligatures w14:val="none"/>
        </w:rPr>
        <w:t xml:space="preserve"> или муниципальной собственности, выдача разрешения на строительство объекта капитального строительства, утверждение схемы расположения земельного участка на кадастровом плане территории, принятие решения о признании садового дома жилым и жилого дома садов</w:t>
      </w:r>
      <w:r>
        <w:rPr>
          <w:b w:val="0"/>
          <w:bCs w:val="0"/>
          <w:color w:val="292c2f"/>
          <w:highlight w:val="none"/>
          <w14:ligatures w14:val="none"/>
        </w:rPr>
        <w:t xml:space="preserve">ым и другие.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Постановление Правительства РФ вступило в силу и действует с 10 июня 2025 года.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/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15.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Росреестр подготовил методичку для граждан о способах защиты недвижимости от мошенников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связи с участившимися вопросами, связанными с темой защиты недвижимости от мошенников, специалисты Росреестра подготовили методическое пособие для граждан. В нем дополнен перечень советов и рекомендаций для граждан. В материал включена более подробная инф</w:t>
      </w:r>
      <w:r>
        <w:rPr>
          <w:b w:val="0"/>
          <w:bCs w:val="0"/>
          <w:color w:val="292c2f"/>
          <w:highlight w:val="none"/>
          <w14:ligatures w14:val="none"/>
        </w:rPr>
        <w:t xml:space="preserve">ормация о способах борьбы с аферистами и масштабных мерах по борьбе с мошенничеством, которые предприняты Росреестром и успешно реализуются на практике.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Людям поступают звонки от неизвестных лиц, которые сообщают о том, что мошенники хотят завладеть их недвижимостью. Как правило, звонящие представляются сотрудниками правоохранительных органов или Росреестра и предлагают помощь в поимке аферистов.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</w:t>
      </w:r>
      <w:r>
        <w:rPr>
          <w:b w:val="0"/>
          <w:bCs w:val="0"/>
          <w:color w:val="292c2f"/>
          <w:highlight w:val="none"/>
          <w14:ligatures w14:val="none"/>
        </w:rPr>
        <w:t xml:space="preserve">ри этом собственнику говорят, что в целях защиты своей недвижимости ему необходимо её оперативно продать и внести средства на специальный защищённый счёт (чтобы не потерять их, т.к. мошенники якобы завладели поддельными документами). Также человека могут у</w:t>
      </w:r>
      <w:r>
        <w:rPr>
          <w:b w:val="0"/>
          <w:bCs w:val="0"/>
          <w:color w:val="292c2f"/>
          <w:highlight w:val="none"/>
          <w14:ligatures w14:val="none"/>
        </w:rPr>
        <w:t xml:space="preserve">говаривать срочно подписать пакет документов (например, чтобы избежать продажи квартиры) или продиктовать свои персональные данные.</w:t>
      </w:r>
      <w:r/>
    </w:p>
    <w:p>
      <w:pPr>
        <w:ind w:firstLine="708"/>
        <w:rPr>
          <w:b/>
          <w:bCs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Поддельные документы</w:t>
      </w:r>
      <w:r>
        <w:rPr>
          <w:b/>
          <w:bCs/>
        </w:rPr>
      </w:r>
      <w:r>
        <w:rPr>
          <w:b/>
          <w:bCs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ходе мошенничества с недвижимостью могут быть использованы поддельные документы. Например, доверенности, документы о праве собственности на недвижимость, паспорта и т.д. Гражданин может купить квартиру у мошенников, предоставивших поддельные документы, и </w:t>
      </w:r>
      <w:r>
        <w:rPr>
          <w:b w:val="0"/>
          <w:bCs w:val="0"/>
          <w:color w:val="292c2f"/>
          <w:highlight w:val="none"/>
          <w14:ligatures w14:val="none"/>
        </w:rPr>
        <w:t xml:space="preserve">остаться как без недвижимости, так и без денег.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имеют место случаи, когда квартира может быть продана без ведома собственника. Человек даже не будет знать, что за его спиной злоумышленники подделали документы и подали их в МФЦ.</w:t>
      </w:r>
      <w:r/>
    </w:p>
    <w:p>
      <w:pPr>
        <w:ind w:firstLine="708"/>
        <w:rPr>
          <w:b/>
          <w:bCs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Механизмы защиты - что делать в таких случаях?</w:t>
      </w:r>
      <w:r>
        <w:rPr>
          <w:b/>
          <w:bCs/>
        </w:rPr>
      </w:r>
      <w:r>
        <w:rPr>
          <w:b/>
          <w:bCs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1</w:t>
      </w:r>
      <w:r>
        <w:rPr>
          <w:b w:val="0"/>
          <w:bCs w:val="0"/>
          <w:color w:val="292c2f"/>
          <w:highlight w:val="none"/>
          <w14:ligatures w14:val="none"/>
        </w:rPr>
        <w:t xml:space="preserve">. Во-первых, следует помнить, что сотрудники Росреестра никогда не звонят собственникам с угрозами мошенничества или просьбами сообщить свои персональные данные. Если вам вдруг поступил такой звонок и человек представился сотрудником Росреестра, следует не</w:t>
      </w:r>
      <w:r>
        <w:rPr>
          <w:b w:val="0"/>
          <w:bCs w:val="0"/>
          <w:color w:val="292c2f"/>
          <w:highlight w:val="none"/>
          <w14:ligatures w14:val="none"/>
        </w:rPr>
        <w:t xml:space="preserve">замедлительно сообщить об этом в правоохранительные органы. Не попадайтесь на уловки мошенников. Не идите у них не поводу, чтобы не лишиться своей недвижимости.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2. Самый простой способ защитить недвижимость – подать заявление о запрете регистрации сделок без вашего личного участия. Это можно сделать в личном кабинете на сайте Росреестра, на Портале госуслуг или в МФЦ.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</w:t>
      </w:r>
      <w:r>
        <w:rPr>
          <w:b w:val="0"/>
          <w:bCs w:val="0"/>
          <w:color w:val="292c2f"/>
          <w:highlight w:val="none"/>
          <w14:ligatures w14:val="none"/>
        </w:rPr>
        <w:t xml:space="preserve">осле того, как заявление будет подано, в Единый государственный реестр недвижимости (ЕГРН) будет внесена соответствующая запись. И если в Росреестр будут поданы документы без личного участия собственника (например, по доверенности), они рассматриваться не </w:t>
      </w:r>
      <w:r>
        <w:rPr>
          <w:b w:val="0"/>
          <w:bCs w:val="0"/>
          <w:color w:val="292c2f"/>
          <w:highlight w:val="none"/>
          <w14:ligatures w14:val="none"/>
        </w:rPr>
        <w:t xml:space="preserve">будут. Их вернут обратно заявителю.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Этот механизм заработал в 2013 году и позволяет минимизировать риски мошенничества, например, при утере паспорта или документов о праве собственности, а также в случае длительного отъезда правообладателя.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Важно! Запрет не действует, если переход права осуществляется по решению суда или требованию судебного пристава-исполнителя.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3</w:t>
      </w:r>
      <w:r>
        <w:rPr>
          <w:b w:val="0"/>
          <w:bCs w:val="0"/>
          <w:color w:val="292c2f"/>
          <w:highlight w:val="none"/>
          <w14:ligatures w14:val="none"/>
        </w:rPr>
        <w:t xml:space="preserve">. Заказывайте выписки из ЕГРН только с помощью официального сайта Росреестра или Портала Госуслуг. Не пользуйтесь услугами интернет-сервисов, предоставляющих возможность получения неофициальных отчетов о недвижимости. Получив Ваши персональные данные, указ</w:t>
      </w:r>
      <w:r>
        <w:rPr>
          <w:b w:val="0"/>
          <w:bCs w:val="0"/>
          <w:color w:val="292c2f"/>
          <w:highlight w:val="none"/>
          <w14:ligatures w14:val="none"/>
        </w:rPr>
        <w:t xml:space="preserve">анные сайты/сервисы могут хранить их и в дальнейшем использовать в своей незаконной деятельности. К тому же, они не несут ответственность за полноту и правильность переданных Вам сведений.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4. Внесите в ЕГРН адрес своей электронной почты либо актуализируйте его, если почта поменялась. Это можно сделать в личном кабинете на сайте Росреестра, на Портале госуслуг или в МФЦ.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а электронную почту человек будет получать все уведомления о совершающихся сделках и изменениях в отношении его объектов недвижимости. Если вдруг правообладатель получит такое сообщение от Росреестра и окажется, что ни он, ни его представители никаких доку</w:t>
      </w:r>
      <w:r>
        <w:rPr>
          <w:b w:val="0"/>
          <w:bCs w:val="0"/>
          <w:color w:val="292c2f"/>
          <w:highlight w:val="none"/>
          <w14:ligatures w14:val="none"/>
        </w:rPr>
        <w:t xml:space="preserve">ментов не подавали, он сможет оперативно уведомить об этом ведомство, и сделка не состоится.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Это поможет предотвратить любые попытки провести незаконные сделки с имуществом граждан, в том числе с помощью поддельных электронных подписей.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5. Тщательно проверяйте документы перед сделками купли-продажи недвижимости.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первую очередь, покупателям стоит учитывать, что продавать недвижимость может только собственник. Поэтому сначала следует внимательно изучить правоустанавливающие документы. К ним относятся договоры передачи (приватизации), дарения, купли-продажи, участия</w:t>
      </w:r>
      <w:r>
        <w:rPr>
          <w:b w:val="0"/>
          <w:bCs w:val="0"/>
          <w:color w:val="292c2f"/>
          <w:highlight w:val="none"/>
          <w14:ligatures w14:val="none"/>
        </w:rPr>
        <w:t xml:space="preserve"> в долевом строительстве и т.д. То есть документы, на основании которых возникло право собственности у нынешнего владельца или владельцев объекта недвижимости.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Важно!</w:t>
      </w:r>
      <w:r>
        <w:rPr>
          <w:b w:val="0"/>
          <w:bCs w:val="0"/>
          <w:color w:val="292c2f"/>
          <w:highlight w:val="none"/>
          <w14:ligatures w14:val="none"/>
        </w:rPr>
        <w:t xml:space="preserve"> Требуйте от продавца предоставить оригиналы документов на собственность. Если вам их не показывают, это должно насторожить.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Кроме того, попросите продавца предоставить выписку из ЕГРН об основных характеристиках и зарегистрированных правах на объект недвижимости. Это также поможет убедиться, что продавец квартиры является её законным собственником.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Заказать и получить выписку можно и самим на Портале госуслуг. Там не будет сведений о правообладателе, но будут основные характеристики объекта и иная общедоступная информация.</w:t>
      </w:r>
      <w:r/>
    </w:p>
    <w:p>
      <w:pPr>
        <w:ind w:firstLine="708"/>
        <w:rPr>
          <w:b/>
          <w:bCs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На что стоит обратить внимание в выписке из ЕГРН?</w:t>
      </w:r>
      <w:r>
        <w:rPr>
          <w:b/>
          <w:bCs/>
        </w:rPr>
      </w:r>
      <w:r>
        <w:rPr>
          <w:b/>
          <w:bCs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Убедитесь, что вы покупаете объект недвижимости действительно у его актуального собственника (сверьте указанные в выписке фамилию, имя, отчество, паспортные данные с информацией в паспорте, а также в документе, по которому продавец приобрел объект);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Проверьте, чем именно (объектом недвижимости или долей в праве на него) владеет человек, с которым вы собираетесь совершить сделку. Другими словами, единственный ли он собственник объекта недвижимости или нет?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Нет ли зарегистрированных прав на данный объект у несовершеннолетних? В данном случае продавец должен предоставить разрешение органов опеки и попечительства на продажу.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</w:t>
      </w:r>
      <w:r>
        <w:rPr>
          <w:b w:val="0"/>
          <w:bCs w:val="0"/>
          <w:color w:val="292c2f"/>
          <w:highlight w:val="none"/>
          <w14:ligatures w14:val="none"/>
        </w:rPr>
        <w:t xml:space="preserve">акже перед покупкой необходимо внимательно изучить, как часто переходили права на объект недвижимости. Стоит насторожиться, если в короткий период времени переходы прав были очень частыми. В такой ситуации потенциальным покупателям желательно убедиться, чт</w:t>
      </w:r>
      <w:r>
        <w:rPr>
          <w:b w:val="0"/>
          <w:bCs w:val="0"/>
          <w:color w:val="292c2f"/>
          <w:highlight w:val="none"/>
          <w14:ligatures w14:val="none"/>
        </w:rPr>
        <w:t xml:space="preserve">о</w:t>
      </w:r>
      <w:r>
        <w:rPr>
          <w:b w:val="0"/>
          <w:bCs w:val="0"/>
          <w:color w:val="292c2f"/>
          <w:highlight w:val="none"/>
          <w14:ligatures w14:val="none"/>
        </w:rPr>
        <w:t xml:space="preserve"> все сделки в цепочке соответствуют закону и не нарушают прав всех участников, так как судебное оспаривание даже одной из них может привести к потере имущества последним собственником. Для этого необходимо заказать выписку о переходе прав на объект недвижи</w:t>
      </w:r>
      <w:r>
        <w:rPr>
          <w:b w:val="0"/>
          <w:bCs w:val="0"/>
          <w:color w:val="292c2f"/>
          <w:highlight w:val="none"/>
          <w14:ligatures w14:val="none"/>
        </w:rPr>
        <w:t xml:space="preserve">мости. Указанная выписка является общедоступной, поэтому потенциальные покупатели могут самостоятельно убедиться в точности предоставленных продавцом сведений.</w:t>
      </w:r>
      <w:r/>
    </w:p>
    <w:p>
      <w:pPr>
        <w:ind w:firstLine="708"/>
        <w:rPr>
          <w:b w:val="0"/>
          <w:bCs w:val="0"/>
          <w:color w:val="292c2f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Важно! </w:t>
      </w:r>
      <w:r>
        <w:rPr>
          <w:b w:val="0"/>
          <w:bCs w:val="0"/>
          <w:color w:val="292c2f"/>
          <w:highlight w:val="none"/>
        </w:rPr>
      </w:r>
      <w:r>
        <w:rPr>
          <w:b w:val="0"/>
          <w:bCs w:val="0"/>
          <w:color w:val="292c2f"/>
          <w:highlight w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Особо внимательно стоит отнестись к сделке, если продавец действует от лица собственника по нотариальной доверенности. Проверить доверенность можно на официальном сайте Федеральной нотариальной палаты.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6</w:t>
      </w:r>
      <w:r>
        <w:rPr>
          <w:b w:val="0"/>
          <w:bCs w:val="0"/>
          <w:color w:val="292c2f"/>
          <w:highlight w:val="none"/>
          <w14:ligatures w14:val="none"/>
        </w:rPr>
        <w:t xml:space="preserve">. Будьте бдительны и каждый раз внимательно проверяйте, какие именно документы вы подписываете. Имейте в виду, что бывают случаи, когда владельца квартиры вводят в заблуждение и под видом какого-то документа (например, квитанции об оплате услуг или кредитн</w:t>
      </w:r>
      <w:r>
        <w:rPr>
          <w:b w:val="0"/>
          <w:bCs w:val="0"/>
          <w:color w:val="292c2f"/>
          <w:highlight w:val="none"/>
          <w14:ligatures w14:val="none"/>
        </w:rPr>
        <w:t xml:space="preserve">ого договора) дают ему на подпись договор купли-продажи жилья. Не глядя, человек его подписывает, и остается без недвижимости.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7</w:t>
      </w:r>
      <w:r>
        <w:rPr>
          <w:b w:val="0"/>
          <w:bCs w:val="0"/>
          <w:color w:val="292c2f"/>
          <w:highlight w:val="none"/>
          <w14:ligatures w14:val="none"/>
        </w:rPr>
        <w:t xml:space="preserve">. Никогда никому не сообщайте по телефону свои персональные данные, а также данные своего аккаунта на Госуслугах. Встречаются случаи, когда мошенники по телефону просят человека продиктовать персональные данные (в том числе ФИО, дату рождения, паспортные д</w:t>
      </w:r>
      <w:r>
        <w:rPr>
          <w:b w:val="0"/>
          <w:bCs w:val="0"/>
          <w:color w:val="292c2f"/>
          <w:highlight w:val="none"/>
          <w14:ligatures w14:val="none"/>
        </w:rPr>
        <w:t xml:space="preserve">а</w:t>
      </w:r>
      <w:r>
        <w:rPr>
          <w:b w:val="0"/>
          <w:bCs w:val="0"/>
          <w:color w:val="292c2f"/>
          <w:highlight w:val="none"/>
          <w14:ligatures w14:val="none"/>
        </w:rPr>
        <w:t xml:space="preserve">нные, реквизиты банковских карт и т.д.), а впоследствии используют их для подготовки поддельных документов. Кроме того, под разными предлогами злоумышленники могут заставить вас сообщить данные аккаунта на Госуслугах, чтобы получить доступ к вашим персонал</w:t>
      </w:r>
      <w:r>
        <w:rPr>
          <w:b w:val="0"/>
          <w:bCs w:val="0"/>
          <w:color w:val="292c2f"/>
          <w:highlight w:val="none"/>
          <w14:ligatures w14:val="none"/>
        </w:rPr>
        <w:t xml:space="preserve">ьным данным.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</w:t>
      </w:r>
      <w:r>
        <w:rPr>
          <w:b w:val="0"/>
          <w:bCs w:val="0"/>
          <w:color w:val="292c2f"/>
          <w:highlight w:val="none"/>
          <w14:ligatures w14:val="none"/>
        </w:rPr>
        <w:t xml:space="preserve">облюдайте «цифровую гигиену». Не сообщайте никому в телефонном разговоре свои паспортные и иные личные данные, а также содержание СМС-сообщений, поступающих с портала Госуслуг и банковских учреждений. Меняйте пароль к своему аккаунту на Госуслугах не реже,</w:t>
      </w:r>
      <w:r>
        <w:rPr>
          <w:b w:val="0"/>
          <w:bCs w:val="0"/>
          <w:color w:val="292c2f"/>
          <w:highlight w:val="none"/>
          <w14:ligatures w14:val="none"/>
        </w:rPr>
        <w:t xml:space="preserve"> чем раз в три месяца. Не переходите по ссылкам, отправленным в сообщениях от незнакомцев. Они могут вести на фишинговые сайты, где ваши персональные данные могут быть украдены.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7</w:t>
      </w:r>
      <w:r>
        <w:rPr>
          <w:b w:val="0"/>
          <w:bCs w:val="0"/>
          <w:color w:val="292c2f"/>
          <w:highlight w:val="none"/>
          <w14:ligatures w14:val="none"/>
        </w:rPr>
        <w:t xml:space="preserve">. Попросите быть внимательнее своих пожилых родственников и близких людей во избежание мошенничества с недвижимостью. К сожалению, люди старшего возраста особенно подвержены уловкам злоумышленников. Они наиболее доверчивы и открыты к посторонним, и аферист</w:t>
      </w:r>
      <w:r>
        <w:rPr>
          <w:b w:val="0"/>
          <w:bCs w:val="0"/>
          <w:color w:val="292c2f"/>
          <w:highlight w:val="none"/>
          <w14:ligatures w14:val="none"/>
        </w:rPr>
        <w:t xml:space="preserve">ы этим пользуются. Предупредите их о рисках телефонного мошенничества и призывайте каждый раз внимательно проверять, какие именно документы они подписывают.</w:t>
      </w:r>
      <w:r/>
    </w:p>
    <w:p>
      <w:pPr>
        <w:ind w:firstLine="708"/>
        <w:rPr>
          <w:b/>
          <w:bCs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Какие меры по борьбе с мошенничеством уже предприняты Росреестром</w:t>
      </w:r>
      <w:r>
        <w:rPr>
          <w:b/>
          <w:bCs/>
        </w:rPr>
      </w:r>
      <w:r>
        <w:rPr>
          <w:b/>
          <w:bCs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</w:t>
      </w:r>
      <w:r>
        <w:rPr>
          <w:b w:val="0"/>
          <w:bCs w:val="0"/>
          <w:color w:val="292c2f"/>
          <w:highlight w:val="none"/>
          <w14:ligatures w14:val="none"/>
        </w:rPr>
        <w:t xml:space="preserve"> 1 марта 2023 вступил в силу Федеральный закон № 266-ФЗ от 14.07.2022, по которому данные правообладателей в выписке из ЕГРН могут быть доступны только при условии, если владелец недвижимости открыл сведения о своих фамилии, имени, отчестве и дате рождения</w:t>
      </w:r>
      <w:r>
        <w:rPr>
          <w:b w:val="0"/>
          <w:bCs w:val="0"/>
          <w:color w:val="292c2f"/>
          <w:highlight w:val="none"/>
          <w14:ligatures w14:val="none"/>
        </w:rPr>
        <w:t xml:space="preserve"> </w:t>
      </w:r>
      <w:r>
        <w:rPr>
          <w:b w:val="0"/>
          <w:bCs w:val="0"/>
          <w:color w:val="292c2f"/>
          <w:highlight w:val="none"/>
          <w14:ligatures w14:val="none"/>
        </w:rPr>
        <w:t xml:space="preserve">по специальному заявлению. Для этого в любой удобной форме, в том числе онлайн, собственник может обратиться в Росреестр и внести соответствующую запись в ЕГРН. При отсутствии такой записи персональные данные в выписке из ЕГРН будут отсутствовать, и в свед</w:t>
      </w:r>
      <w:r>
        <w:rPr>
          <w:b w:val="0"/>
          <w:bCs w:val="0"/>
          <w:color w:val="292c2f"/>
          <w:highlight w:val="none"/>
          <w14:ligatures w14:val="none"/>
        </w:rPr>
        <w:t xml:space="preserve">ениях о правообладателе будет указано «физическое лицо».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</w:t>
      </w:r>
      <w:r>
        <w:rPr>
          <w:b w:val="0"/>
          <w:bCs w:val="0"/>
          <w:color w:val="292c2f"/>
          <w:highlight w:val="none"/>
          <w14:ligatures w14:val="none"/>
        </w:rPr>
        <w:t xml:space="preserve">о принятия данного закона ничего не мешало лицам, имеющим противоправные умыслы, воспользоваться сведениями из ЕГРН для физического воздействия на собственников, особенно престарелых и одиноко проживающих граждан. Инициатива обеспечила защиту персональных </w:t>
      </w:r>
      <w:r>
        <w:rPr>
          <w:b w:val="0"/>
          <w:bCs w:val="0"/>
          <w:color w:val="292c2f"/>
          <w:highlight w:val="none"/>
          <w14:ligatures w14:val="none"/>
        </w:rPr>
        <w:t xml:space="preserve">данных владельцев недвижимости.</w:t>
      </w:r>
      <w:r/>
    </w:p>
    <w:p>
      <w:pPr>
        <w:ind w:firstLine="708"/>
        <w:rPr>
          <w:b/>
          <w:bCs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Как проверить, дали ли вы согласие на отображение ваших персональных данных в выписке из ЕГРН для третьих лиц? </w:t>
      </w:r>
      <w:r>
        <w:rPr>
          <w:b/>
          <w:bCs/>
        </w:rPr>
      </w:r>
      <w:r>
        <w:rPr>
          <w:b/>
          <w:bCs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 Портале госуслуг - если у вас есть сертификат усиленной квалифицированной электронной подписи (УКЭП) в приложении «Госключ»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Через личный кабинет на сайте Росреестра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офисах МФЦ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Чтобы дать согласие на Портале госуслуг, перейдите к услуге. Понадобится подтверждённая учётная запись. Нажмите: Внести сведения в ЕГРН → В реестр прав → Дать согласие показывать мои данные в выписках ЕГРН.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Выберите, по каким объектам показывать ваши данные: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конкретному, который укажете в заявлении. В этом случае по другим объектам, которые принадлежат вам или будут принадлежать в будущем, ваши данные останутся скрыты;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всем объектам, которые у вас когда‑либо появятся. При регистрации права на новый объект недвижимости ваше согласие раскрыть свои данные будет учитываться автоматически.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Ответьте на вопросы и следуйте подсказкам, чтобы отправить заявление.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Чтобы отозвать согласие на Портале госуслуг, перейдите к услуге. Выберите: Внести сведения в ЕГРН → В реестр прав → Отозвать согласие показывать мои данные в выписках ЕГРН.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Отозвать согласие можно в любой момент.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2</w:t>
      </w:r>
      <w:r>
        <w:rPr>
          <w:b w:val="0"/>
          <w:bCs w:val="0"/>
          <w:color w:val="292c2f"/>
          <w:highlight w:val="none"/>
          <w14:ligatures w14:val="none"/>
        </w:rPr>
        <w:t xml:space="preserve">. Приняты меры по защите электронных сделок. Установлено обязательное письменное согласие собственника на государственную регистрацию перехода права собственности на основании документов, подготовленных в электронном виде. Для этого нужно дать разрешение л</w:t>
      </w:r>
      <w:r>
        <w:rPr>
          <w:b w:val="0"/>
          <w:bCs w:val="0"/>
          <w:color w:val="292c2f"/>
          <w:highlight w:val="none"/>
          <w14:ligatures w14:val="none"/>
        </w:rPr>
        <w:t xml:space="preserve">и</w:t>
      </w:r>
      <w:r>
        <w:rPr>
          <w:b w:val="0"/>
          <w:bCs w:val="0"/>
          <w:color w:val="292c2f"/>
          <w:highlight w:val="none"/>
          <w14:ligatures w14:val="none"/>
        </w:rPr>
        <w:t xml:space="preserve">чно, после чего в ЕГРН делается специальная отметка о возможности регистрации на основании документов, представленных в электронном виде и подписанных усиленной квалифицированной электронной подписью (УКЭП). Получить УКЭП можно только в специальных аккреди</w:t>
      </w:r>
      <w:r>
        <w:rPr>
          <w:b w:val="0"/>
          <w:bCs w:val="0"/>
          <w:color w:val="292c2f"/>
          <w:highlight w:val="none"/>
          <w14:ligatures w14:val="none"/>
        </w:rPr>
        <w:t xml:space="preserve">тованных удостоверяющих центрах.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</w:t>
      </w:r>
      <w:r>
        <w:rPr>
          <w:b w:val="0"/>
          <w:bCs w:val="0"/>
          <w:color w:val="292c2f"/>
          <w:highlight w:val="none"/>
          <w14:ligatures w14:val="none"/>
        </w:rPr>
        <w:t xml:space="preserve">роме того, в июне 2025 года Президентом РФ подписан разработанный Росреестром закон, предусматривающий еще одну меру защиты при электронных сделках с недвижимостью - граждане смогут использовать Единую биометрическую систему для подачи документов на регист</w:t>
      </w:r>
      <w:r>
        <w:rPr>
          <w:b w:val="0"/>
          <w:bCs w:val="0"/>
          <w:color w:val="292c2f"/>
          <w:highlight w:val="none"/>
          <w14:ligatures w14:val="none"/>
        </w:rPr>
        <w:t xml:space="preserve">р</w:t>
      </w:r>
      <w:r>
        <w:rPr>
          <w:b w:val="0"/>
          <w:bCs w:val="0"/>
          <w:color w:val="292c2f"/>
          <w:highlight w:val="none"/>
          <w14:ligatures w14:val="none"/>
        </w:rPr>
        <w:t xml:space="preserve">ацию недвижимости в электронном виде. Данный механизм будет применяться в дополнение к УКЭП, которая уже сейчас обеспечивает надежность процесса регистрации прав собственности. Сочетание этих двух факторов обеспечит высокий уровень безопасности таких сдело</w:t>
      </w:r>
      <w:r>
        <w:rPr>
          <w:b w:val="0"/>
          <w:bCs w:val="0"/>
          <w:color w:val="292c2f"/>
          <w:highlight w:val="none"/>
          <w14:ligatures w14:val="none"/>
        </w:rPr>
        <w:t xml:space="preserve">к и защиту граждан от мошеннических действий с недвижимостью. Законопроект принят в первом чтении.</w:t>
      </w:r>
      <w:r/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16. </w:t>
      </w:r>
      <w:r>
        <w:rPr>
          <w:b/>
          <w:bCs/>
          <w:color w:val="292c2f"/>
          <w:highlight w:val="none"/>
          <w14:ligatures w14:val="none"/>
        </w:rPr>
        <w:t xml:space="preserve">Состоялись мероприятия для профсообщества в рамках Всероссийского съезда кадастровых инженеров.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22 и 23 мая состоялись очередные мероприятия в рамках XI Всероссийского съезда в Новосибирске -  круглые столы «Комплексные кадастровые работы» и «ЗОУИТ, сервитуты, терзоны, ООПТ: практические вопросы оформления и судебная практика». Сотрудники новосибирск</w:t>
      </w:r>
      <w:r>
        <w:rPr>
          <w:b w:val="0"/>
          <w:bCs w:val="0"/>
          <w:color w:val="292c2f"/>
          <w:highlight w:val="none"/>
          <w14:ligatures w14:val="none"/>
        </w:rPr>
        <w:t xml:space="preserve">ого Росреестра приняли участие в диалоге с представителями различных профессиональных сообществ в сфере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ходе круглого стола «Комплексные кадастровые работы» были обсуждены важные аспекты законодательства в сфере выполнения указанных работ.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 приветственным словом перед участниками выступил модератор мероприятия </w:t>
      </w:r>
      <w:r>
        <w:rPr>
          <w:b w:val="0"/>
          <w:bCs w:val="0"/>
          <w:color w:val="292c2f"/>
          <w:highlight w:val="none"/>
          <w14:ligatures w14:val="none"/>
        </w:rPr>
        <w:t xml:space="preserve">Виктор Кислов</w:t>
      </w:r>
      <w:r>
        <w:rPr>
          <w:b w:val="0"/>
          <w:bCs w:val="0"/>
          <w:color w:val="292c2f"/>
          <w:highlight w:val="none"/>
          <w14:ligatures w14:val="none"/>
        </w:rPr>
        <w:t xml:space="preserve">, вице-президент Национальной палаты кадастровых инженеров.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своих вступлениях участники поделились практическим опытом выполнения комплексных кадастровых работ. Прозвучали доклады представителей филиалов ППК «Роскадастр», действующих на территории Новос</w:t>
      </w:r>
      <w:r>
        <w:rPr>
          <w:b w:val="0"/>
          <w:bCs w:val="0"/>
          <w:color w:val="292c2f"/>
          <w:highlight w:val="none"/>
          <w14:ligatures w14:val="none"/>
        </w:rPr>
        <w:t xml:space="preserve">ибирской области.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Исполнительный директор – директор филиала ППК «Роскадастр» «ПО Инжгеодезия» </w:t>
      </w:r>
      <w:r>
        <w:rPr>
          <w:b w:val="0"/>
          <w:bCs w:val="0"/>
          <w:color w:val="292c2f"/>
          <w:highlight w:val="none"/>
          <w14:ligatures w14:val="none"/>
        </w:rPr>
        <w:t xml:space="preserve">Юлия Чухвачева</w:t>
      </w:r>
      <w:r>
        <w:rPr>
          <w:b w:val="0"/>
          <w:bCs w:val="0"/>
          <w:color w:val="292c2f"/>
          <w:highlight w:val="none"/>
          <w14:ligatures w14:val="none"/>
        </w:rPr>
        <w:t xml:space="preserve"> показала техническое оборудование, необходимое при проведении аэрофотосъемочных и камеральных работ, направленных в том числе на формирование пространственных данных в масштабах страны. В работе используются комплекты приемников Глобальной навигационной с</w:t>
      </w:r>
      <w:r>
        <w:rPr>
          <w:b w:val="0"/>
          <w:bCs w:val="0"/>
          <w:color w:val="292c2f"/>
          <w:highlight w:val="none"/>
          <w14:ligatures w14:val="none"/>
        </w:rPr>
        <w:t xml:space="preserve">путниковой системы (ГНСС), беспилотные воздушные судна, стереофотограмметрические комплексы с необходимым программным обеспечением.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Юлия Чухвачева</w:t>
      </w:r>
      <w:r>
        <w:rPr>
          <w:b w:val="0"/>
          <w:bCs w:val="0"/>
          <w:color w:val="292c2f"/>
          <w:highlight w:val="none"/>
          <w14:ligatures w14:val="none"/>
        </w:rPr>
        <w:t xml:space="preserve"> поделилась практическим опытом выполнения комплексных кадастровых работ: </w:t>
      </w:r>
      <w:r>
        <w:rPr>
          <w:b w:val="0"/>
          <w:bCs w:val="0"/>
          <w:color w:val="292c2f"/>
          <w:highlight w:val="none"/>
          <w14:ligatures w14:val="none"/>
        </w:rPr>
        <w:t xml:space="preserve">«Метод определения координат характерных точек границ объектов недвижимости, расположенных в границах кадастрового квартала, в отношении которых проводятся комплексные кадастровые работы, выбирается филиалом ППК «Роскадастр», в том числе, исходя из экономи</w:t>
      </w:r>
      <w:r>
        <w:rPr>
          <w:b w:val="0"/>
          <w:bCs w:val="0"/>
          <w:color w:val="292c2f"/>
          <w:highlight w:val="none"/>
          <w14:ligatures w14:val="none"/>
        </w:rPr>
        <w:t xml:space="preserve">ческой целесообразности, геополитической обстановки, а также специфики местности и сезона проведения работ. Так, на территории работ филиала ППК Роскадастр «ПО Инжгеодезия» определен фотограмметрический метод. После окончания аэрофотосъемочных работ осущес</w:t>
      </w:r>
      <w:r>
        <w:rPr>
          <w:b w:val="0"/>
          <w:bCs w:val="0"/>
          <w:color w:val="292c2f"/>
          <w:highlight w:val="none"/>
          <w14:ligatures w14:val="none"/>
        </w:rPr>
        <w:t xml:space="preserve">твляется передача данных как филиалам ППК в субъектах для дальнейшей работы, так и в федеральный фонд пространственных данных».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Заместитель директора - главный технолог филиала ППК «Роскадастр»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Оксана Макаренко</w:t>
      </w:r>
      <w:r>
        <w:rPr>
          <w:b w:val="0"/>
          <w:bCs w:val="0"/>
          <w:color w:val="292c2f"/>
          <w:highlight w:val="none"/>
          <w14:ligatures w14:val="none"/>
        </w:rPr>
        <w:t xml:space="preserve"> отметила широкую географию выполнения комплексных кадастровых работ и высокую значимость работ по наполнению ЕГРН актуальными сведениями о границах.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Слушатели приняли активное участие в обсуждении особенностей выполнения кадастровых работ и интересовалис</w:t>
      </w:r>
      <w:r>
        <w:rPr>
          <w:b w:val="0"/>
          <w:bCs w:val="0"/>
          <w:color w:val="292c2f"/>
          <w:highlight w:val="none"/>
          <w14:ligatures w14:val="none"/>
        </w:rPr>
        <w:t xml:space="preserve">ь способами решения тех или иных задач.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Круглый стол «ЗОУИТ, сервитуты, терзоны, ООПТ: практические вопросы оформления и судебная практика» открыла </w:t>
      </w:r>
      <w:r>
        <w:rPr>
          <w:b w:val="0"/>
          <w:bCs w:val="0"/>
          <w:color w:val="292c2f"/>
          <w:highlight w:val="none"/>
          <w14:ligatures w14:val="none"/>
        </w:rPr>
        <w:t xml:space="preserve">Светлана Вайгандт </w:t>
      </w:r>
      <w:r>
        <w:rPr>
          <w:b w:val="0"/>
          <w:bCs w:val="0"/>
          <w:color w:val="292c2f"/>
          <w:highlight w:val="none"/>
          <w14:ligatures w14:val="none"/>
        </w:rPr>
        <w:t xml:space="preserve">-  кадастровый инженер, член президиума СРО Ассоциации «ОКИС». Светлана Сергеевна поприветствовала всех собравшихся и рассказала о новых положениях законодательства в части зон с особыми условиями использования территорий, вступивших в силу с 2025 года, и </w:t>
      </w:r>
      <w:r>
        <w:rPr>
          <w:b w:val="0"/>
          <w:bCs w:val="0"/>
          <w:color w:val="292c2f"/>
          <w:highlight w:val="none"/>
          <w14:ligatures w14:val="none"/>
        </w:rPr>
        <w:t xml:space="preserve">поделилась историческим феноменом ЗОУИТ, показав какой путь прошло данное определение.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С докладами выступили представители филиала ППК Роскадастр по Новосибирской области</w:t>
      </w:r>
      <w:r>
        <w:rPr>
          <w:b w:val="0"/>
          <w:bCs w:val="0"/>
          <w:color w:val="292c2f"/>
          <w:highlight w:val="none"/>
          <w14:ligatures w14:val="none"/>
        </w:rPr>
        <w:t xml:space="preserve"> Валентина Балашова</w:t>
      </w:r>
      <w:r>
        <w:rPr>
          <w:b w:val="0"/>
          <w:bCs w:val="0"/>
          <w:color w:val="292c2f"/>
          <w:highlight w:val="none"/>
          <w14:ligatures w14:val="none"/>
        </w:rPr>
        <w:t xml:space="preserve"> и </w:t>
      </w:r>
      <w:r>
        <w:rPr>
          <w:b w:val="0"/>
          <w:bCs w:val="0"/>
          <w:color w:val="292c2f"/>
          <w:highlight w:val="none"/>
          <w14:ligatures w14:val="none"/>
        </w:rPr>
        <w:t xml:space="preserve">Лилия Земляная</w:t>
      </w:r>
      <w:r>
        <w:rPr>
          <w:b w:val="0"/>
          <w:bCs w:val="0"/>
          <w:color w:val="292c2f"/>
          <w:highlight w:val="none"/>
          <w14:ligatures w14:val="none"/>
        </w:rPr>
        <w:t xml:space="preserve"> –специалисты отдела ведения реестра границ. 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Росреестр ввел в эксплуатацию на базе портала НСПД сервис «Визуализация пространственных данных». С его помощью в режиме онлайн можно визуально проверить, как сформированы границы объектов и удостовериться в а</w:t>
      </w:r>
      <w:r>
        <w:rPr>
          <w:b w:val="0"/>
          <w:bCs w:val="0"/>
          <w:color w:val="292c2f"/>
          <w:highlight w:val="none"/>
          <w14:ligatures w14:val="none"/>
        </w:rPr>
        <w:t xml:space="preserve">ктуальности используемых сведений ЕГРН.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 часто встречающихся ошибках рассказала </w:t>
      </w:r>
      <w:r>
        <w:rPr>
          <w:b w:val="0"/>
          <w:bCs w:val="0"/>
          <w:color w:val="292c2f"/>
          <w:highlight w:val="none"/>
          <w14:ligatures w14:val="none"/>
        </w:rPr>
        <w:t xml:space="preserve">Валентина Балашова</w:t>
      </w:r>
      <w:r>
        <w:rPr>
          <w:b w:val="0"/>
          <w:bCs w:val="0"/>
          <w:color w:val="292c2f"/>
          <w:highlight w:val="none"/>
          <w14:ligatures w14:val="none"/>
        </w:rPr>
        <w:t xml:space="preserve">: </w:t>
      </w:r>
      <w:r>
        <w:rPr>
          <w:b w:val="0"/>
          <w:bCs w:val="0"/>
          <w:color w:val="292c2f"/>
          <w:highlight w:val="none"/>
          <w14:ligatures w14:val="none"/>
        </w:rPr>
        <w:t xml:space="preserve">«Всевозможные пересечения границ, некорректно заполненное описание местоположения объекта, направление неполного пакета документов являются наиболее частыми ошибками, допускаемыми исполнителями. Важно обращать внимание и на вид архивирования документов, по</w:t>
      </w:r>
      <w:r>
        <w:rPr>
          <w:b w:val="0"/>
          <w:bCs w:val="0"/>
          <w:color w:val="292c2f"/>
          <w:highlight w:val="none"/>
          <w14:ligatures w14:val="none"/>
        </w:rPr>
        <w:t xml:space="preserve">скольку для внесения сведений в ФГИС ЕГРН необходим исключительно zip-архив. Подобные ошибки приводят к увеличению сроков работы и нагрузки на всех участников процесса»</w:t>
      </w:r>
      <w:r>
        <w:rPr>
          <w:b w:val="0"/>
          <w:bCs w:val="0"/>
          <w:color w:val="292c2f"/>
          <w:highlight w:val="none"/>
          <w14:ligatures w14:val="none"/>
        </w:rPr>
        <w:t xml:space="preserve">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Заместитель Новосибирского межрайонного природоохранного прокурора </w:t>
      </w:r>
      <w:r>
        <w:rPr>
          <w:b w:val="0"/>
          <w:bCs w:val="0"/>
          <w:color w:val="292c2f"/>
          <w:highlight w:val="none"/>
          <w14:ligatures w14:val="none"/>
        </w:rPr>
        <w:t xml:space="preserve">Екатерина Грязнова</w:t>
      </w:r>
      <w:r>
        <w:rPr>
          <w:b w:val="0"/>
          <w:bCs w:val="0"/>
          <w:color w:val="292c2f"/>
          <w:highlight w:val="none"/>
          <w14:ligatures w14:val="none"/>
        </w:rPr>
        <w:t xml:space="preserve"> в своем выступлении рассказала о правовом статусе водных объектов и об основных проблемах, касающихся обеспечения свободного доступа к береговой полосе, которая согласно законодательству Российской Федерации, является общедоступной для всех граждан нашей </w:t>
      </w:r>
      <w:r>
        <w:rPr>
          <w:b w:val="0"/>
          <w:bCs w:val="0"/>
          <w:color w:val="292c2f"/>
          <w:highlight w:val="none"/>
          <w14:ligatures w14:val="none"/>
        </w:rPr>
        <w:t xml:space="preserve">страны.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Всероссийский съезд кадастровых инженеров собрал более 600 участников из разных регионов России. Съезд стал дискуссионной площадкой для решения актуальных вопросов кадастровой деятельности.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ходе мероприятий заместителю руководителя новосибирского Росрее</w:t>
      </w:r>
      <w:r>
        <w:rPr>
          <w:b w:val="0"/>
          <w:bCs w:val="0"/>
          <w:color w:val="292c2f"/>
          <w:highlight w:val="none"/>
          <w14:ligatures w14:val="none"/>
        </w:rPr>
        <w:t xml:space="preserve">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Ивану Пархоменко</w:t>
      </w:r>
      <w:r>
        <w:rPr>
          <w:b w:val="0"/>
          <w:bCs w:val="0"/>
          <w:color w:val="292c2f"/>
          <w:highlight w:val="none"/>
          <w14:ligatures w14:val="none"/>
        </w:rPr>
        <w:t xml:space="preserve"> было вручено благодарственное письмо депутата Государственной Думы Федерального Собрания Российской Федерации за многолетний добросовестный труд в сфере регистрации прав на недвижимое имущество, активное участие в профессиональном воспитании молодых специ</w:t>
      </w:r>
      <w:r>
        <w:rPr>
          <w:b w:val="0"/>
          <w:bCs w:val="0"/>
          <w:color w:val="292c2f"/>
          <w:highlight w:val="none"/>
          <w14:ligatures w14:val="none"/>
        </w:rPr>
        <w:t xml:space="preserve">алистов. </w:t>
      </w:r>
      <w:r>
        <w:rPr>
          <w:b w:val="0"/>
          <w:bCs w:val="0"/>
          <w:color w:val="292c2f"/>
          <w:highlight w:val="none"/>
          <w14:ligatures w14:val="none"/>
        </w:rPr>
        <w:t xml:space="preserve">«Ваш личный вклад в развитие государственного земельного контроля имел важную роль, в том числе и в вопросах совершенствования законодательства в сфере государственного кадастрового учета и регистрации прав на недвижимость</w:t>
      </w:r>
      <w:r>
        <w:rPr>
          <w:b w:val="0"/>
          <w:bCs w:val="0"/>
          <w:color w:val="292c2f"/>
          <w:highlight w:val="none"/>
          <w14:ligatures w14:val="none"/>
        </w:rPr>
        <w:t xml:space="preserve">», - сообщается в письме.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17. </w:t>
      </w:r>
      <w:r>
        <w:rPr>
          <w:b/>
          <w:bCs/>
          <w:color w:val="292c2f"/>
          <w:highlight w:val="none"/>
          <w14:ligatures w14:val="none"/>
        </w:rPr>
        <w:t xml:space="preserve">Преимущества оформления прав на недвижимость.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Новосибирской области более 20 тысяч объектов долевого строительства не содержат сведения о правообладателях. С первого марта 2025 года застройщики обязаны после передачи участнику долевого строительства объекта,  направлять самостоятельно в  Росреестр з</w:t>
      </w:r>
      <w:r>
        <w:rPr>
          <w:b w:val="0"/>
          <w:bCs w:val="0"/>
          <w:color w:val="292c2f"/>
          <w:highlight w:val="none"/>
          <w14:ligatures w14:val="none"/>
        </w:rPr>
        <w:t xml:space="preserve">аявление о государственной регистрации права собственности за дольщика.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проведения государственной регистрации, если застройщик передал объект долевого строительства до марта 2025 года, физическому лицу необходимо обратиться в любой офис многофункцион</w:t>
      </w:r>
      <w:r>
        <w:rPr>
          <w:b w:val="0"/>
          <w:bCs w:val="0"/>
          <w:color w:val="292c2f"/>
          <w:highlight w:val="none"/>
          <w14:ligatures w14:val="none"/>
        </w:rPr>
        <w:t xml:space="preserve">ального центра для подачи заявления о регистрации прав.  С юридическими лицами взаимодействие  Росреестра осуществляется только в электронной форме. 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Регистрация права собственности гарантирует защиту от мошеннических действий. Наличие регистрации дает во</w:t>
      </w:r>
      <w:r>
        <w:rPr>
          <w:b w:val="0"/>
          <w:bCs w:val="0"/>
          <w:color w:val="292c2f"/>
          <w:highlight w:val="none"/>
          <w14:ligatures w14:val="none"/>
        </w:rPr>
        <w:t xml:space="preserve">зможность прописаться в квартире, воспользоваться налоговым вычетом, оформить дотации и льготы на оплату жилищно-коммунальных услуг (доступно определенным категориям граждан), провести ряд сделок с недвижимостью (продать, подарить, оставить в наследство и </w:t>
      </w:r>
      <w:r>
        <w:rPr>
          <w:b w:val="0"/>
          <w:bCs w:val="0"/>
          <w:color w:val="292c2f"/>
          <w:highlight w:val="none"/>
          <w14:ligatures w14:val="none"/>
        </w:rPr>
        <w:t xml:space="preserve">т.д.), выделить доли в праве (при использовании материнского капитала), обратиться к государству за компенсационными выплатами в случае стихийных бедствий.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«Важно своевременно регистрировать недвижимость. Собственникам объектов недвижимого имущества рекомендуем проверить наличие зарегистрированного права на сайте Госуслуг, заказав онлайн-выписку»</w:t>
      </w:r>
      <w:r>
        <w:rPr>
          <w:b w:val="0"/>
          <w:bCs w:val="0"/>
          <w:color w:val="292c2f"/>
          <w:highlight w:val="none"/>
          <w14:ligatures w14:val="none"/>
        </w:rPr>
        <w:t xml:space="preserve">, - сообщила заместитель руководителя Управления Росреестра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Наталья Ивчатова.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18.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29 мая новосибирский Росреестр провел «горячую» телефонную линию по вопросам использования земельных участков.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В городе Новосибирске и районах области прошла «горячая» телефонная линия по вопросам изменений в законодательство об использовании земельных участков.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 номера «горячих» линий поступило около 15 звонков, специалисты аппарата Управления Росреестра по Нов</w:t>
      </w:r>
      <w:r>
        <w:rPr>
          <w:b w:val="0"/>
          <w:bCs w:val="0"/>
          <w:color w:val="292c2f"/>
          <w:highlight w:val="none"/>
          <w14:ligatures w14:val="none"/>
        </w:rPr>
        <w:t xml:space="preserve">осибирской области и его территориальных отделов ответили на вопросы жителей региона. Граждан интересовали порядок подачи юридическими лицами документов в электронном виде, изъятие земельных участков в связи с их неиспользованием.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Публикуем ответы на неко</w:t>
      </w:r>
      <w:r>
        <w:rPr>
          <w:b w:val="0"/>
          <w:bCs w:val="0"/>
          <w:color w:val="292c2f"/>
          <w:highlight w:val="none"/>
          <w14:ligatures w14:val="none"/>
        </w:rPr>
        <w:t xml:space="preserve">торые поступившие в ходе телефонной линии вопросы.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С какого момента начинает идти срок для освоения садовых земельных участков и какие меры нужно предпринять для их освоения?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По земельным участкам, которые уже находятся в собственности, срок исчисляется с 1 марта 2025 года. Другие правообладатели земельных участков приступают к их использованию с момента оформления права собственности.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Основными мероприятиями, направленными на</w:t>
      </w:r>
      <w:r>
        <w:rPr>
          <w:b w:val="0"/>
          <w:bCs w:val="0"/>
          <w:color w:val="292c2f"/>
          <w:highlight w:val="none"/>
          <w14:ligatures w14:val="none"/>
        </w:rPr>
        <w:t xml:space="preserve"> освоение земельных участков, являются освобождение земельного участка от деревьев и кустарников, мешающих его использованию, от сорных растений, отходов производства и потребления, проведение работ по осушению либо увлажнению участка и другие.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Можно ли на земельном участке, предназначенном для индивидуального жилищного строительства, отрыть автосервис</w:t>
      </w:r>
      <w:r>
        <w:rPr>
          <w:b w:val="0"/>
          <w:bCs w:val="0"/>
          <w:color w:val="292c2f"/>
          <w:highlight w:val="none"/>
          <w14:ligatures w14:val="none"/>
        </w:rPr>
        <w:t xml:space="preserve">?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Осуществление на земельном участке с видом разрешенного использования «индивидуальное жилищное строительство» предпринимательской деятельности по ремонту, сбору, заправке или мойке автомобилей – это нецелевое использование земельного участка и является нар</w:t>
      </w:r>
      <w:r>
        <w:rPr>
          <w:b w:val="0"/>
          <w:bCs w:val="0"/>
          <w:color w:val="292c2f"/>
          <w:highlight w:val="none"/>
          <w14:ligatures w14:val="none"/>
        </w:rPr>
        <w:t xml:space="preserve">ушением земельного законодательства. За данное правонарушение предусмотрена административная ответственность (статья 8.8. КоАП РФ).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случае обнаружения такого нарушения вы можете направить письменное обращение в новосибирский Росреестр: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  по почте: ул.</w:t>
      </w:r>
      <w:r>
        <w:rPr>
          <w:b w:val="0"/>
          <w:bCs w:val="0"/>
          <w:color w:val="292c2f"/>
          <w:highlight w:val="none"/>
          <w14:ligatures w14:val="none"/>
        </w:rPr>
        <w:t xml:space="preserve"> Державина, 28, г. Новосибирск, 630099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заполнить специальную форму на сайте Росреестра rosreestr.gov.ru в разделе «Услуги и Сервисы» - «Сервисы»-«Обращения граждан»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в любом офисе МФЦ.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19. </w:t>
      </w:r>
      <w:r>
        <w:rPr>
          <w:b/>
          <w:bCs/>
          <w:color w:val="292c2f"/>
          <w:highlight w:val="none"/>
          <w14:ligatures w14:val="none"/>
        </w:rPr>
        <w:t xml:space="preserve">Оплатить услуги новосибирского Росреестра можно по УИН.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Управление Росреестра по Новосибирской области информирует о преимуществах оплаты государственных услуг Росреестра по уникальному идентификатору начисления (УИН).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УИН – это код, состоящий из двадцати цифр, который формируется в отношении каждой услуги (ка</w:t>
      </w:r>
      <w:r>
        <w:rPr>
          <w:b w:val="0"/>
          <w:bCs w:val="0"/>
          <w:color w:val="292c2f"/>
          <w:highlight w:val="none"/>
          <w14:ligatures w14:val="none"/>
        </w:rPr>
        <w:t xml:space="preserve">дастровый учет объекта недвижимости и / или государственная регистрация прав или сделок) и необходим для идентификации платежа и получения Росреестром подтверждения факта оплаты государственной пошлины за конкретную государственную услугу в отношении конкр</w:t>
      </w:r>
      <w:r>
        <w:rPr>
          <w:b w:val="0"/>
          <w:bCs w:val="0"/>
          <w:color w:val="292c2f"/>
          <w:highlight w:val="none"/>
          <w14:ligatures w14:val="none"/>
        </w:rPr>
        <w:t xml:space="preserve">етного объекта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«Оплата госпошлины за регистрацию прав или сделок, за постановку объекта на кадастровый учет по УИН избавит юридических лиц от дополнительных уточнений, в частности, в отношении каких объектов недвижимости осуществлена оплата. А для граждан такая оплата ис</w:t>
      </w:r>
      <w:r>
        <w:rPr>
          <w:b w:val="0"/>
          <w:bCs w:val="0"/>
          <w:color w:val="292c2f"/>
          <w:highlight w:val="none"/>
          <w14:ligatures w14:val="none"/>
        </w:rPr>
        <w:t xml:space="preserve">ключит неверно оплаченные суммы, за возвратом которых необходимо дополнительно обращаться с заявлением, запрашивать выписки из банка и тратить свое личное время на решение этого вопроса»</w:t>
      </w:r>
      <w:r>
        <w:rPr>
          <w:b w:val="0"/>
          <w:bCs w:val="0"/>
          <w:color w:val="292c2f"/>
          <w:highlight w:val="none"/>
          <w14:ligatures w14:val="none"/>
        </w:rPr>
        <w:t xml:space="preserve">, - сообщила заместитель руководителя новосибирского Росреестра </w:t>
      </w:r>
      <w:r>
        <w:rPr>
          <w:b w:val="0"/>
          <w:bCs w:val="0"/>
          <w:color w:val="292c2f"/>
          <w:highlight w:val="none"/>
          <w14:ligatures w14:val="none"/>
        </w:rPr>
        <w:t xml:space="preserve">Наталья Ивчатова.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При подаче документов в МФЦ специалист приема документов сформирует УИН, выдаст квитанцию с QR - кодом, содержащую УИН.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 подаче документов в электронном виде УИН сформируется автоматически после того, как будут внесены все необходимые данные о заявител</w:t>
      </w:r>
      <w:r>
        <w:rPr>
          <w:b w:val="0"/>
          <w:bCs w:val="0"/>
          <w:color w:val="292c2f"/>
          <w:highlight w:val="none"/>
          <w14:ligatures w14:val="none"/>
        </w:rPr>
        <w:t xml:space="preserve">е, виде объекта недвижимости и виде обращения (государственная регистрация, кадастровый учет или единая процедура).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Произвести оплату по УИН можно в МФЦ или в любом отделении банка, а также самостоятельно через мобильный банк.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Важно знать, что УИН действ</w:t>
      </w:r>
      <w:r>
        <w:rPr>
          <w:b w:val="0"/>
          <w:bCs w:val="0"/>
          <w:color w:val="292c2f"/>
          <w:highlight w:val="none"/>
          <w14:ligatures w14:val="none"/>
        </w:rPr>
        <w:t xml:space="preserve">ителен в течение 5 дней. Срок рассмотрения документов в Росреестре начинается с момента поступления оплаты, отсутствие в регистрирующем органе информации об оплате госпошлины является основанием для возврата документов без рассмотрения.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При наличии вопрос</w:t>
      </w:r>
      <w:r>
        <w:rPr>
          <w:b w:val="0"/>
          <w:bCs w:val="0"/>
          <w:color w:val="292c2f"/>
          <w:highlight w:val="none"/>
          <w14:ligatures w14:val="none"/>
        </w:rPr>
        <w:t xml:space="preserve">ов о порядке и размерах оплаты государственной пошлины можно обратиться к специалисту МФЦ, осуществляющему прием документов. В случае подачи документов в электронном виде рекомендуем обращаться в «Школу электронных услуг», действующей в новосибирском Росре</w:t>
      </w:r>
      <w:r>
        <w:rPr>
          <w:b w:val="0"/>
          <w:bCs w:val="0"/>
          <w:color w:val="292c2f"/>
          <w:highlight w:val="none"/>
          <w14:ligatures w14:val="none"/>
        </w:rPr>
        <w:t xml:space="preserve">естре, контактные телефоны: 8 (383) 243-88-28, 8 (383) 330-52-70, 8 (383-56)-20-786.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20. </w:t>
      </w:r>
      <w:r>
        <w:rPr>
          <w:b/>
          <w:bCs/>
          <w:color w:val="292c2f"/>
          <w:highlight w:val="none"/>
          <w14:ligatures w14:val="none"/>
        </w:rPr>
        <w:t xml:space="preserve">Цифра дня: экстерриториальная регистрация.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Ведение целостной системы сведений об объектах недвижимости обеспечило качественно новый уровень работы Росреестра, ведь сегодня обратиться за услугами можно вне зависимости от региона, где находится недвижимость.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 5 месяцев 2025 года в Новосибирской об</w:t>
      </w:r>
      <w:r>
        <w:rPr>
          <w:b w:val="0"/>
          <w:bCs w:val="0"/>
          <w:color w:val="292c2f"/>
          <w:highlight w:val="none"/>
          <w14:ligatures w14:val="none"/>
        </w:rPr>
        <w:t xml:space="preserve">ласти было принято более 7 500 обращений о регистрации и постановке на кадастровый учет объектов недвижимости, расположенных в иных регионах, что на четверть больше, чем 3 года назад.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Наиболее востребованными регионами для новосибирцев являются: Иркутская</w:t>
      </w:r>
      <w:r>
        <w:rPr>
          <w:b w:val="0"/>
          <w:bCs w:val="0"/>
          <w:color w:val="292c2f"/>
          <w:highlight w:val="none"/>
          <w14:ligatures w14:val="none"/>
        </w:rPr>
        <w:t xml:space="preserve"> область, Алтайский край, Республика Бурятия и Кемеровская область, Республики Саха (Якутия), Хакасия и Томская область, Красноярский и Забайкальский края.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Недвижимостью Новосибирской области интересуются жители Кемеровской области, Алтайского края, город</w:t>
      </w:r>
      <w:r>
        <w:rPr>
          <w:b w:val="0"/>
          <w:bCs w:val="0"/>
          <w:color w:val="292c2f"/>
          <w:highlight w:val="none"/>
          <w14:ligatures w14:val="none"/>
        </w:rPr>
        <w:t xml:space="preserve">а Москвы и Московской области, Иркутской и Томской областей.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21.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О признаках неосвоенной земли и условиях ее изъятия рассказала в эфире региональных новостей телеканала «Россия 1» заместитель руководителя новосибирского Росреестра Наталья Ивчатова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</w:t>
      </w:r>
      <w:r>
        <w:rPr>
          <w:b w:val="0"/>
          <w:bCs w:val="0"/>
          <w:color w:val="292c2f"/>
          <w:highlight w:val="none"/>
          <w14:ligatures w14:val="none"/>
        </w:rPr>
        <w:t xml:space="preserve">равительство России утвердило перечень признаков неиспользования земельных участков из состава земель населенных пунктов, садовых и огородных земельных участков. Документ, который вступает в силу 1 сентября 2025 года, содержит критерии, которые позволят оц</w:t>
      </w:r>
      <w:r>
        <w:rPr>
          <w:b w:val="0"/>
          <w:bCs w:val="0"/>
          <w:color w:val="292c2f"/>
          <w:highlight w:val="none"/>
          <w14:ligatures w14:val="none"/>
        </w:rPr>
        <w:t xml:space="preserve">енить, осуществляется ли использование земельных участков в установленные Законом № 307-ФЗ сроки.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Основная цель постановления – повышение качества использования земельными ресурсами и защита граждан, чьи участки расположены по соседству с заброшенными либо захламленными.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Теперь владельцы земельных участков будут четко понимать, какие меры необходимо предпринять для недопущения причин, которые в итоге могут привести к изъятию участка.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частности, не допускать захламление или загрязнение отходами более половины площади участка, зарастание более половины участка различными сорными растениями (высотой более 1 метра), а также деревьями и кустарниками, которые не являются предметами благоуст</w:t>
      </w:r>
      <w:r>
        <w:rPr>
          <w:b w:val="0"/>
          <w:bCs w:val="0"/>
          <w:color w:val="292c2f"/>
          <w:highlight w:val="none"/>
          <w14:ligatures w14:val="none"/>
        </w:rPr>
        <w:t xml:space="preserve">ройства и озеленения.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Важно также содержать здание либо сооружение, расположенное на участке, в надлежащем состоянии - не допускать разрушения крыши, стен, выпадения окон или стёкол из окон.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</w:t>
      </w:r>
      <w:r>
        <w:rPr>
          <w:b w:val="0"/>
          <w:bCs w:val="0"/>
          <w:color w:val="292c2f"/>
          <w:highlight w:val="none"/>
          <w14:ligatures w14:val="none"/>
        </w:rPr>
        <w:t xml:space="preserve"> числе признаков неиспользования земельного участка относится и отсутствие здания или сооружения в течение 5 лет на участке, предназначенном для строительства (при этом установлены случаи, когда срок может быть иным) или 7 лет на участке, предназначенном д</w:t>
      </w:r>
      <w:r>
        <w:rPr>
          <w:b w:val="0"/>
          <w:bCs w:val="0"/>
          <w:color w:val="292c2f"/>
          <w:highlight w:val="none"/>
          <w14:ligatures w14:val="none"/>
        </w:rPr>
        <w:t xml:space="preserve">ля индивидуального жилищного строительства.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Стоит серьезно относиться к владению земельными участками, использовать их по целевому назначению и не допускать нарушений, - подчеркнула заместитель руководителя новосибирского Росреестра Наталья Ивчатова. – В рамках контрольно-надзорных полномочий госуда</w:t>
      </w:r>
      <w:r>
        <w:rPr>
          <w:b w:val="0"/>
          <w:bCs w:val="0"/>
          <w:color w:val="292c2f"/>
          <w:highlight w:val="none"/>
          <w14:ligatures w14:val="none"/>
        </w:rPr>
        <w:t xml:space="preserve">р</w:t>
      </w:r>
      <w:r>
        <w:rPr>
          <w:b w:val="0"/>
          <w:bCs w:val="0"/>
          <w:color w:val="292c2f"/>
          <w:highlight w:val="none"/>
          <w14:ligatures w14:val="none"/>
        </w:rPr>
        <w:t xml:space="preserve">ственные инспекторы по использованию и охране земель Росреестра будут проводить профилактические мероприятия, при обнаружении признаков нарушений собственники участков получат предупреждения, в которых будут указаны сроки их устранения, что в конечном итог</w:t>
      </w:r>
      <w:r>
        <w:rPr>
          <w:b w:val="0"/>
          <w:bCs w:val="0"/>
          <w:color w:val="292c2f"/>
          <w:highlight w:val="none"/>
          <w14:ligatures w14:val="none"/>
        </w:rPr>
        <w:t xml:space="preserve">е позволит избежать процедуру изъятия участка, как крайней меры».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  <w:t xml:space="preserve">22. </w:t>
      </w:r>
      <w:r>
        <w:rPr>
          <w:b/>
          <w:bCs/>
          <w:color w:val="292c2f"/>
          <w:highlight w:val="none"/>
          <w14:ligatures w14:val="none"/>
        </w:rPr>
        <w:t xml:space="preserve">В Новосибирской области провели свод сведений о земле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</w:t>
      </w:r>
      <w:r>
        <w:rPr>
          <w:b w:val="0"/>
          <w:bCs w:val="0"/>
          <w:color w:val="292c2f"/>
          <w:highlight w:val="none"/>
          <w14:ligatures w14:val="none"/>
        </w:rPr>
        <w:t xml:space="preserve">правлением Росреестра по Новосибирской области подготовлены ежегодный отчет о наличии земель и распределении их по формам собственности, категориям, угодьям, пользователям и региональный доклад о состоянии и использовании земель в Новосибирской области за </w:t>
      </w:r>
      <w:r>
        <w:rPr>
          <w:b w:val="0"/>
          <w:bCs w:val="0"/>
          <w:color w:val="292c2f"/>
          <w:highlight w:val="none"/>
          <w14:ligatures w14:val="none"/>
        </w:rPr>
        <w:t xml:space="preserve">2024 год.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</w:t>
      </w:r>
      <w:r>
        <w:rPr>
          <w:b w:val="0"/>
          <w:bCs w:val="0"/>
          <w:color w:val="292c2f"/>
          <w:highlight w:val="none"/>
          <w14:ligatures w14:val="none"/>
        </w:rPr>
        <w:t xml:space="preserve">истематизация таких сведений проводится ежегодно, так как изменяется структура земельного фонда по категориям земель, видам угодий, использованию земельных участков на определенном виде права. В течение нескольких месяцев готовится полный отчет о землях ре</w:t>
      </w:r>
      <w:r>
        <w:rPr>
          <w:b w:val="0"/>
          <w:bCs w:val="0"/>
          <w:color w:val="292c2f"/>
          <w:highlight w:val="none"/>
          <w14:ligatures w14:val="none"/>
        </w:rPr>
        <w:t xml:space="preserve">гиона.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Площадь земельного фонда Новосибирской области составляет 17775,6 тыс.га.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земельном фонде Новосибирской области преобладают земли сельскохозяйственного назначения, которые занимают 11096,3 тыс.га и составляют 62,4 % от общей площади региона.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Леса занимают 26,1 % площади всей территории области или 4629,7 тыс.га и преобладают в северной части региона.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Значительная часть земель Новосибирской области относится к землям запаса – 1039,7 тыс.га (5,9 %).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М</w:t>
      </w:r>
      <w:r>
        <w:rPr>
          <w:b w:val="0"/>
          <w:bCs w:val="0"/>
          <w:color w:val="292c2f"/>
          <w:highlight w:val="none"/>
          <w14:ligatures w14:val="none"/>
        </w:rPr>
        <w:t xml:space="preserve">еньшие площади занимают земли водного фонда – 595 тыс.га (3,3 %), земли населенных пунктов – 282,4 тыс.га (1,6 %), земли промышленности, энергетики, транспорта, связи, радиовещания, телевидения, информатики, земли для обеспечения космической деятельности, </w:t>
      </w:r>
      <w:r>
        <w:rPr>
          <w:b w:val="0"/>
          <w:bCs w:val="0"/>
          <w:color w:val="292c2f"/>
          <w:highlight w:val="none"/>
          <w14:ligatures w14:val="none"/>
        </w:rPr>
        <w:t xml:space="preserve">земли обороны, безопасности и земли иного специального назначения – 129,6 тыс.га (0,7 %), земли особо охраняемых территорий и объектов – 2,9 тыс.га.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23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Все земельные участки Новосибирской области переоценят в 2026 году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Управление Росреестра по Новосибирской области информирует, что в 2026 году в регионе будет проведена государственная кадастровая оценка всех земельных участков всех категорий земель.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Переоценку пройдут более миллиона земельных участков, сведения о которых будут содержаться в Едином государственном реестре недвижимости по состоянию на 1 января 2026 года.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Работы по государственной кадастровой оценке земель будет выполнять государственное бюджетное учреждение Новосибирской области «Новосибирский центр кадастровой оценки и инвентаризации» (ГБУ НСО «ЦКО и БТИ»).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целях сбора и обработки информации, необходимой для определения кадастровой стоимости, правообладатели земельных участков вправе предоставить в ГБУ НСО «ЦКО и БТИ» декларации об их характеристиках.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Подача декларации поможет избежать ошибок при проведении государственной кадастровой оценки и повысить точность определения кадастровой стоимости имущества.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Форма декларации размещена на официальном сайте ГБУ НСО «ЦКО и БТИ» в разделе «Кадастровая оценка».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Подать декларацию в ГБУ НСО «ЦКО и БТИ можно несколькими способами: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почтовым отправлением в адрес: 630004, Новосибирская область, г. Новосибирск, ул. Сибирская, 15;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на адрес электронной почты: declar@noti.ru;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- непосредственно при личном обращении в ГБУ НСО «ЦКО и БТИ» по адресу: г. Новосибирск, ул. Сибирская, 15.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24. Фонд данных землеустройства пополнился новыми ортофотопланами.</w:t>
      </w:r>
      <w:r/>
    </w:p>
    <w:p>
      <w:pPr>
        <w:ind w:firstLine="708"/>
        <w:rPr>
          <w:color w:val="292c2f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овосибирский Росреестр в рамках осуществления функции государственного земельного контроля (надзора) передал в государственный фонд данных, полученных в результате проведения землеустройства, цифровые ортофотопланы местности СНТ «Авиатор», п. Бибиха Кубови</w:t>
      </w: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ского сельсовета Новосибирского района Новосибирской области, п. Элитный Мичуринского сельсовета Новосибирского  района Новосибирской области, с. Верх-Тула Верх-Тулинского сельсовета Новосибирского  района Новосибирской области, с. Барлак Барлакского сельс</w:t>
      </w:r>
      <w:r>
        <w:rPr>
          <w:b w:val="0"/>
          <w:bCs w:val="0"/>
          <w:color w:val="292c2f"/>
          <w:highlight w:val="none"/>
          <w14:ligatures w14:val="none"/>
        </w:rPr>
        <w:t xml:space="preserve">овета Мошковского района Новосибирской области масштаба 1:500.</w:t>
      </w:r>
      <w:r>
        <w:rPr>
          <w:color w:val="292c2f"/>
          <w:highlight w:val="none"/>
        </w:rPr>
      </w:r>
      <w:r>
        <w:rPr>
          <w:color w:val="292c2f"/>
          <w:highlight w:val="none"/>
        </w:rPr>
      </w:r>
    </w:p>
    <w:p>
      <w:pPr>
        <w:ind w:firstLine="708"/>
        <w:rPr>
          <w:color w:val="292c2f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Ц</w:t>
      </w:r>
      <w:r>
        <w:rPr>
          <w:b w:val="0"/>
          <w:bCs w:val="0"/>
          <w:color w:val="292c2f"/>
          <w:highlight w:val="none"/>
          <w14:ligatures w14:val="none"/>
        </w:rPr>
        <w:t xml:space="preserve">ифровые ортофотопланы изготовлены по материалам аэрофотосъемки в местной системе координат Новосибирской области. Аэрофотосъемка выполнена с применением беспилотного летательного аппарата, обладающего высокими метрическими свойствами и постоянными параметр</w:t>
      </w:r>
      <w:r>
        <w:rPr>
          <w:b w:val="0"/>
          <w:bCs w:val="0"/>
          <w:color w:val="292c2f"/>
          <w:highlight w:val="none"/>
          <w14:ligatures w14:val="none"/>
        </w:rPr>
        <w:t xml:space="preserve">ами элементов внутреннего ориентирования. Площадь обследованной местности составила 1067 гектаров.</w:t>
      </w:r>
      <w:r>
        <w:rPr>
          <w:color w:val="292c2f"/>
          <w:highlight w:val="none"/>
        </w:rPr>
      </w:r>
      <w:r>
        <w:rPr>
          <w:color w:val="292c2f"/>
          <w:highlight w:val="none"/>
        </w:rPr>
      </w:r>
    </w:p>
    <w:p>
      <w:pPr>
        <w:ind w:firstLine="708"/>
        <w:rPr>
          <w:color w:val="292c2f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Такие ортофотопланы необходимы для исправления реестровых ошибок.</w:t>
      </w:r>
      <w:r>
        <w:rPr>
          <w:color w:val="292c2f"/>
          <w:highlight w:val="none"/>
        </w:rPr>
      </w:r>
      <w:r>
        <w:rPr>
          <w:color w:val="292c2f"/>
          <w:highlight w:val="none"/>
        </w:rPr>
      </w:r>
    </w:p>
    <w:p>
      <w:pPr>
        <w:ind w:firstLine="708"/>
        <w:rPr>
          <w:color w:val="292c2f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Запросить эти материалы в фонде данных землеустройства может любое физическое или юридическое лицо через Единый портал государственных и муниципальных услуг (функций).</w:t>
      </w:r>
      <w:r>
        <w:rPr>
          <w:color w:val="292c2f"/>
          <w:highlight w:val="none"/>
        </w:rPr>
      </w:r>
      <w:r>
        <w:rPr>
          <w:color w:val="292c2f"/>
          <w:highlight w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Подача заявления осуществляется посредством заполнения формы на портале Госуслуг.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25.</w:t>
      </w:r>
      <w:r>
        <w:rPr>
          <w:b/>
          <w:bCs/>
          <w:color w:val="292c2f"/>
          <w:highlight w:val="none"/>
          <w14:ligatures w14:val="none"/>
        </w:rPr>
        <w:t xml:space="preserve">Новосибирский Росреестр и региональный Роскадастр – в эфире программы «Регион LIFE» на телеканале ОТС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18 июня в эфире программы «Регион LIFE» на телеканале ОТС руководитель Управления Росреестра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Светлана Рягузова </w:t>
      </w:r>
      <w:r>
        <w:rPr>
          <w:b w:val="0"/>
          <w:bCs w:val="0"/>
          <w:color w:val="292c2f"/>
          <w:highlight w:val="none"/>
          <w14:ligatures w14:val="none"/>
        </w:rPr>
        <w:t xml:space="preserve">и директор филиала ППК «Роскадастр» по Новосибирской области </w:t>
      </w:r>
      <w:r>
        <w:rPr>
          <w:b w:val="0"/>
          <w:bCs w:val="0"/>
          <w:color w:val="292c2f"/>
          <w:highlight w:val="none"/>
          <w14:ligatures w14:val="none"/>
        </w:rPr>
        <w:t xml:space="preserve">Виталий Герлиц</w:t>
      </w:r>
      <w:r>
        <w:rPr>
          <w:b w:val="0"/>
          <w:bCs w:val="0"/>
          <w:color w:val="292c2f"/>
          <w:highlight w:val="none"/>
          <w14:ligatures w14:val="none"/>
        </w:rPr>
        <w:t xml:space="preserve"> рассказали о последних изменениях в сфере оформления недвижимости.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  <w:t xml:space="preserve">Несколько ключевых моментов выступления: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спрос на выписки из ЕГРН за последние пять лет вырос вдвое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60 % сделок с недвижимостью Новосибирска регистрируются в электронном виде, доля электронных сделок по ипотеке и новостройкам приближается к 100 %.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расширилась география по приобретению недвижимости новосибирцами в других регионах России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 начала 2025 г. реестр недвижимости наполнился 27 тыс. объектами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растет спрос на малоэтажное жилищное строительство. С начала года в реестр внесено 3815 новых жилых домов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Новосибирской области выявлено 579 земельных участков, свободных для жилищного строительства, 115 участков уже вовлечены в оборот </w:t>
      </w:r>
      <w:r>
        <w:rPr>
          <w:b w:val="0"/>
          <w:bCs w:val="0"/>
          <w:color w:val="292c2f"/>
          <w:highlight w:val="none"/>
          <w14:ligatures w14:val="none"/>
        </w:rPr>
        <w:t xml:space="preserve">в 2025 году комплексные кадастровые работы пройдут на территории 11 районов Новосибирской области.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Как изменилась средняя цена сделок купли-продажи в регионе, какие изменения в сфере недвижимости вступили в силу в 2025 году, почему необходимо устанавливать границы земельного участка и что такое освоение земли.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26. Электронная регистрация</w:t>
      </w:r>
      <w:r>
        <w:rPr>
          <w:b/>
          <w:bCs/>
          <w:color w:val="292c2f"/>
          <w:highlight w:val="none"/>
        </w:rPr>
      </w:r>
      <w:r>
        <w:rPr>
          <w:b/>
          <w:bCs/>
          <w:color w:val="292c2f"/>
          <w:highlight w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За последние 10 лет в Новосибирской области в 500 раз выросло количество электронных обращений о государственной регистрации недвижимости.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Сегодня эта цифра составляет более 250 000 обращений в год.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 итогам 5 месяцев 2025 года 60% заявителей обратились за получением услуг в режиме онлайн.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Организации-застройщики являются лидерами электронных услуг Росреестра и предоставляют в новосибирский Росреестр 100% документов в электронном виде.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Банки, кадастровые инженеры и риелторы занимают активную партнерскую позицию и предлагают своим клиентам через дистанционные каналы обслуживания упростить электронный процесс получения услуг.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«</w:t>
      </w:r>
      <w:r>
        <w:rPr>
          <w:b w:val="0"/>
          <w:bCs w:val="0"/>
          <w:color w:val="292c2f"/>
          <w:highlight w:val="none"/>
          <w14:ligatures w14:val="none"/>
        </w:rPr>
        <w:t xml:space="preserve">Имеющиеся достижения в сфере электронной регистрации - результат совместной работы Управления и профсообщества. Постоянное обучение, обсуждение проблемных вопросов, работа над типичными ошибками, оперативная обратная связь - ключевые составляющие качествен</w:t>
      </w:r>
      <w:r>
        <w:rPr>
          <w:b w:val="0"/>
          <w:bCs w:val="0"/>
          <w:color w:val="292c2f"/>
          <w:highlight w:val="none"/>
          <w14:ligatures w14:val="none"/>
        </w:rPr>
        <w:t xml:space="preserve">ных пакетов документов и быстрой регистрации», - отметила Наталья Ивчатова, заместитель руководителя Управления Росреестра по Новосибирской области.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/>
          <w:bCs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bCs/>
          <w:color w:val="292c2f"/>
          <w:highlight w:val="none"/>
          <w14:ligatures w14:val="none"/>
        </w:rPr>
        <w:t xml:space="preserve">27.</w:t>
      </w:r>
      <w:r>
        <w:rPr>
          <w:b/>
          <w:bCs/>
          <w:color w:val="292c2f"/>
          <w:highlight w:val="none"/>
          <w14:ligatures w14:val="none"/>
        </w:rPr>
        <w:t xml:space="preserve"> </w:t>
      </w:r>
      <w:r>
        <w:rPr>
          <w:b/>
          <w:bCs/>
          <w:color w:val="292c2f"/>
          <w:highlight w:val="none"/>
          <w14:ligatures w14:val="none"/>
        </w:rPr>
        <w:t xml:space="preserve">В Новосибирской области установлены границы более 70 % земельных участков</w:t>
      </w:r>
      <w:r>
        <w:rPr>
          <w:b/>
          <w:bCs/>
          <w:color w:val="292c2f"/>
          <w:highlight w:val="none"/>
          <w14:ligatures w14:val="none"/>
        </w:rPr>
        <w:t xml:space="preserve">.</w:t>
      </w:r>
      <w:r>
        <w:rPr>
          <w:b/>
          <w:bCs/>
          <w:color w:val="292c2f"/>
          <w:highlight w:val="none"/>
          <w14:ligatures w14:val="none"/>
        </w:rPr>
      </w:r>
      <w:r>
        <w:rPr>
          <w:b/>
          <w:bCs/>
          <w:color w:val="292c2f"/>
          <w:highlight w:val="none"/>
          <w14:ligatures w14:val="none"/>
        </w:rPr>
      </w:r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 Новосибирской области большая половина земельных участков имеют установленные границы.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На 1 июня 2025 года насчитывается 753 482 земельных участка, имеющих установленные границы, что составляет 73,8% от общего числа земельных участков, расположенных на территории региона.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Н</w:t>
      </w:r>
      <w:r>
        <w:rPr>
          <w:b w:val="0"/>
          <w:bCs w:val="0"/>
          <w:color w:val="292c2f"/>
          <w:highlight w:val="none"/>
          <w14:ligatures w14:val="none"/>
        </w:rPr>
        <w:t xml:space="preserve">овосибирский Росреестр напоминает, что с 1 марта 2025 года регистрационные действия в отношении земельного участка, а также учет расположенных на нем зданий и сооружений не могут быть выполнены, если в Едином государственном реестре недвижимости (ЕГРН) отс</w:t>
      </w:r>
      <w:r>
        <w:rPr>
          <w:b w:val="0"/>
          <w:bCs w:val="0"/>
          <w:color w:val="292c2f"/>
          <w:highlight w:val="none"/>
          <w14:ligatures w14:val="none"/>
        </w:rPr>
        <w:t xml:space="preserve">утствуют сведения о местоположении границ участка.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Ч</w:t>
      </w:r>
      <w:r>
        <w:rPr>
          <w:b w:val="0"/>
          <w:bCs w:val="0"/>
          <w:color w:val="292c2f"/>
          <w:highlight w:val="none"/>
          <w14:ligatures w14:val="none"/>
        </w:rPr>
        <w:t xml:space="preserve">тобы узнать, имеет ли земельный участок установленные границы, можно запросить выписку из ЕГРН об основных характеристиках и зарегистрированных правах на объект недвижимости. Если в реестре не окажется необходимых сведений, в выписке будет отметка «Границы</w:t>
      </w:r>
      <w:r>
        <w:rPr>
          <w:b w:val="0"/>
          <w:bCs w:val="0"/>
          <w:color w:val="292c2f"/>
          <w:highlight w:val="none"/>
          <w14:ligatures w14:val="none"/>
        </w:rPr>
        <w:t xml:space="preserve"> земельного участка не установлены в соответствии с требованиями земельного законодательства».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Справочную информацию о земельном участке можно получить на Публичной кадастровой карте, размещенной на портале пространственных данных «Национальная система пространственных данных».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Для проведения межевания земельного участка необходимо обратиться к кадастровому инженеру, который определит точные границы земельного участка и подготовит межевой план.</w:t>
      </w:r>
      <w:r/>
    </w:p>
    <w:p>
      <w:pPr>
        <w:ind w:firstLine="708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Подготовленные документы вместе с заявлением необходимо предоставить в Росреестр.</w:t>
      </w:r>
      <w:r/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  <w:t xml:space="preserve">Выбрать кадастрового инженера можно на сайте Росреестра в сервисе «Реестр кадастровых инженеров».</w:t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p>
      <w:pPr>
        <w:ind w:firstLine="708"/>
        <w:rPr>
          <w:b w:val="0"/>
          <w:bCs w:val="0"/>
          <w:color w:val="292c2f"/>
          <w:highlight w:val="none"/>
          <w14:ligatures w14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  <w:r>
        <w:rPr>
          <w:b w:val="0"/>
          <w:bCs w:val="0"/>
          <w:color w:val="292c2f"/>
          <w:highlight w:val="none"/>
          <w14:ligatures w14:val="none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10000000000000000"/>
  </w:font>
  <w:font w:name="Courier New">
    <w:panose1 w:val="02070409020205020404"/>
  </w:font>
  <w:font w:name="Symbol">
    <w:panose1 w:val="05010000000000000000"/>
  </w:font>
  <w:font w:name="Calibri Light">
    <w:panose1 w:val="020F0502020204030204"/>
  </w:font>
  <w:font w:name="Tahoma">
    <w:panose1 w:val="020B0604030504040204"/>
  </w:font>
  <w:font w:name="Calibri">
    <w:panose1 w:val="020F0502020204030204"/>
  </w:font>
  <w:font w:name="Times New Roman">
    <w:panose1 w:val="02020603050405020304"/>
  </w:font>
  <w:font w:name="Arial">
    <w:panose1 w:val="020B060402020202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91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65"/>
      <w:jc w:val="center"/>
      <w:rPr>
        <w:color w:val="auto"/>
        <w:highlight w:val="none"/>
      </w:rPr>
    </w:pPr>
    <w:fldSimple w:instr="PAGE \* MERGEFORMAT">
      <w:r>
        <w:rPr>
          <w:color w:val="auto"/>
        </w:rPr>
        <w:t xml:space="preserve">1</w:t>
      </w:r>
    </w:fldSimple>
    <w:r>
      <w:rPr>
        <w:color w:val="auto"/>
      </w:rPr>
    </w:r>
    <w:r>
      <w:rPr>
        <w:color w:val="auto"/>
        <w:highlight w:val="none"/>
      </w:rPr>
    </w:r>
    <w:r>
      <w:rPr>
        <w:color w:val="auto"/>
        <w:highlight w:val="none"/>
      </w:rPr>
    </w:r>
  </w:p>
  <w:p>
    <w:pPr>
      <w:pStyle w:val="965"/>
      <w:jc w:val="center"/>
    </w:pPr>
    <w:r>
      <w:rPr>
        <w:color w:val="auto"/>
        <w:highlight w:val="none"/>
      </w:rPr>
    </w:r>
    <w:r>
      <w:rPr>
        <w:color w:val="auto"/>
        <w:highlight w:val="none"/>
      </w:rPr>
    </w:r>
    <w:r/>
  </w:p>
  <w:p>
    <w:pPr>
      <w:pStyle w:val="965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65"/>
      <w:jc w:val="center"/>
      <w:rPr>
        <w:color w:val="ffffff" w:themeColor="background1"/>
      </w:rPr>
    </w:pPr>
    <w:fldSimple w:instr="PAGE \* MERGEFORMAT">
      <w:r>
        <w:rPr>
          <w:color w:val="ffffff" w:themeColor="background1"/>
        </w:rPr>
        <w:t xml:space="preserve">1</w:t>
      </w:r>
    </w:fldSimple>
    <w:r>
      <w:rPr>
        <w:color w:val="ffffff" w:themeColor="background1"/>
      </w:rPr>
    </w:r>
    <w:r>
      <w:rPr>
        <w:color w:val="ffffff" w:themeColor="background1"/>
      </w:rPr>
    </w:r>
    <w:r>
      <w:rPr>
        <w:color w:val="ffffff" w:themeColor="background1"/>
      </w:rPr>
    </w:r>
  </w:p>
  <w:p>
    <w:pPr>
      <w:pStyle w:val="965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2"/>
      <w:numFmt w:val="decimal"/>
      <w:isLgl w:val="false"/>
      <w:suff w:val="tab"/>
      <w:lvlText w:val="%1."/>
      <w:lvlJc w:val="left"/>
      <w:pPr>
        <w:ind w:left="1083" w:hanging="37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  <w:sz w:val="20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  <w:sz w:val="20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  <w:sz w:val="20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  <w:sz w:val="20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  <w:sz w:val="20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  <w:sz w:val="20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  <w:sz w:val="20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  <w:sz w:val="20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abstractNum w:abstractNumId="4">
    <w:multiLevelType w:val="hybridMultilevel"/>
    <w:lvl w:ilvl="0">
      <w:start w:val="10"/>
      <w:numFmt w:val="decimal"/>
      <w:isLgl w:val="false"/>
      <w:suff w:val="tab"/>
      <w:lvlText w:val="%1."/>
      <w:lvlJc w:val="left"/>
      <w:pPr>
        <w:ind w:left="1083" w:hanging="37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74" w:hanging="46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"/>
      <w:lvlJc w:val="left"/>
      <w:pPr>
        <w:ind w:left="1440" w:hanging="360"/>
        <w:tabs>
          <w:tab w:val="num" w:pos="1440" w:leader="none"/>
        </w:tabs>
      </w:pPr>
      <w:rPr>
        <w:rFonts w:hint="default" w:ascii="Symbol" w:hAnsi="Symbol"/>
        <w:sz w:val="20"/>
      </w:rPr>
    </w:lvl>
    <w:lvl w:ilvl="2">
      <w:start w:val="1"/>
      <w:numFmt w:val="bullet"/>
      <w:isLgl w:val="false"/>
      <w:suff w:val="tab"/>
      <w:lvlText w:val=""/>
      <w:lvlJc w:val="left"/>
      <w:pPr>
        <w:ind w:left="2160" w:hanging="360"/>
        <w:tabs>
          <w:tab w:val="num" w:pos="2160" w:leader="none"/>
        </w:tabs>
      </w:pPr>
      <w:rPr>
        <w:rFonts w:hint="default" w:ascii="Symbol" w:hAnsi="Symbol"/>
        <w:sz w:val="20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hint="default" w:ascii="Symbol" w:hAnsi="Symbol"/>
        <w:sz w:val="20"/>
      </w:rPr>
    </w:lvl>
    <w:lvl w:ilvl="4">
      <w:start w:val="1"/>
      <w:numFmt w:val="bullet"/>
      <w:isLgl w:val="false"/>
      <w:suff w:val="tab"/>
      <w:lvlText w:val=""/>
      <w:lvlJc w:val="left"/>
      <w:pPr>
        <w:ind w:left="3600" w:hanging="360"/>
        <w:tabs>
          <w:tab w:val="num" w:pos="3600" w:leader="none"/>
        </w:tabs>
      </w:pPr>
      <w:rPr>
        <w:rFonts w:hint="default" w:ascii="Symbol" w:hAnsi="Symbol"/>
        <w:sz w:val="20"/>
      </w:rPr>
    </w:lvl>
    <w:lvl w:ilvl="5">
      <w:start w:val="1"/>
      <w:numFmt w:val="bullet"/>
      <w:isLgl w:val="false"/>
      <w:suff w:val="tab"/>
      <w:lvlText w:val=""/>
      <w:lvlJc w:val="left"/>
      <w:pPr>
        <w:ind w:left="4320" w:hanging="360"/>
        <w:tabs>
          <w:tab w:val="num" w:pos="4320" w:leader="none"/>
        </w:tabs>
      </w:pPr>
      <w:rPr>
        <w:rFonts w:hint="default" w:ascii="Symbol" w:hAnsi="Symbol"/>
        <w:sz w:val="20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hint="default" w:ascii="Symbol" w:hAnsi="Symbol"/>
        <w:sz w:val="20"/>
      </w:rPr>
    </w:lvl>
    <w:lvl w:ilvl="7">
      <w:start w:val="1"/>
      <w:numFmt w:val="bullet"/>
      <w:isLgl w:val="false"/>
      <w:suff w:val="tab"/>
      <w:lvlText w:val=""/>
      <w:lvlJc w:val="left"/>
      <w:pPr>
        <w:ind w:left="5760" w:hanging="360"/>
        <w:tabs>
          <w:tab w:val="num" w:pos="5760" w:leader="none"/>
        </w:tabs>
      </w:pPr>
      <w:rPr>
        <w:rFonts w:hint="default" w:ascii="Symbol" w:hAnsi="Symbol"/>
        <w:sz w:val="20"/>
      </w:rPr>
    </w:lvl>
    <w:lvl w:ilvl="8">
      <w:start w:val="1"/>
      <w:numFmt w:val="bullet"/>
      <w:isLgl w:val="false"/>
      <w:suff w:val="tab"/>
      <w:lvlText w:val=""/>
      <w:lvlJc w:val="left"/>
      <w:pPr>
        <w:ind w:left="6480" w:hanging="360"/>
        <w:tabs>
          <w:tab w:val="num" w:pos="6480" w:leader="none"/>
        </w:tabs>
      </w:pPr>
      <w:rPr>
        <w:rFonts w:hint="default" w:ascii="Symbol" w:hAnsi="Symbol"/>
        <w:sz w:val="20"/>
      </w:r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44" w:hanging="435"/>
      </w:pPr>
      <w:rPr>
        <w:rFonts w:hint="default"/>
        <w:color w:val="auto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2">
    <w:multiLevelType w:val="hybridMultilevel"/>
    <w:lvl w:ilvl="0">
      <w:start w:val="7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1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9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2149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869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589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309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5029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749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69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189" w:hanging="360"/>
      </w:pPr>
      <w:rPr>
        <w:rFonts w:hint="default" w:ascii="Wingdings" w:hAnsi="Wingdings"/>
      </w:rPr>
    </w:lvl>
  </w:abstractNum>
  <w:abstractNum w:abstractNumId="14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15">
    <w:multiLevelType w:val="hybridMultilevel"/>
    <w:lvl w:ilvl="0">
      <w:start w:val="4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1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2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abstractNum w:abstractNumId="1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77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9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0">
    <w:multiLevelType w:val="hybridMultilevel"/>
    <w:lvl w:ilvl="0">
      <w:start w:val="19"/>
      <w:numFmt w:val="decimal"/>
      <w:isLgl w:val="false"/>
      <w:suff w:val="tab"/>
      <w:lvlText w:val="%1."/>
      <w:lvlJc w:val="left"/>
      <w:pPr>
        <w:ind w:left="1084" w:hanging="375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2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2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23">
    <w:multiLevelType w:val="hybridMultilevel"/>
    <w:lvl w:ilvl="0">
      <w:start w:val="2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  <w:b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24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26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2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28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260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980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700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420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4140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860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580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300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7020" w:hanging="360"/>
      </w:pPr>
      <w:rPr>
        <w:rFonts w:hint="default" w:ascii="Wingdings" w:hAnsi="Wingdings"/>
      </w:rPr>
    </w:lvl>
  </w:abstractNum>
  <w:abstractNum w:abstractNumId="29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3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 w:eastAsia="Times New Roman"/>
        <w:color w:val="00000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3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3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  <w:b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  <w:color w:val="00000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3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77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3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144" w:hanging="435"/>
      </w:pPr>
      <w:rPr>
        <w:color w:val="00000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3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615" w:hanging="615"/>
      </w:pPr>
    </w:lvl>
    <w:lvl w:ilvl="1">
      <w:start w:val="1"/>
      <w:numFmt w:val="decimal"/>
      <w:isLgl w:val="false"/>
      <w:suff w:val="tab"/>
      <w:lvlText w:val="%2."/>
      <w:lvlJc w:val="left"/>
      <w:pPr>
        <w:ind w:left="1951" w:hanging="720"/>
      </w:pPr>
      <w:rPr>
        <w:rFonts w:ascii="Times New Roman" w:hAnsi="Times New Roman" w:eastAsia="Calibri" w:cs="Times New Roman"/>
      </w:rPr>
    </w:lvl>
    <w:lvl w:ilvl="2">
      <w:start w:val="1"/>
      <w:numFmt w:val="decimal"/>
      <w:isLgl w:val="false"/>
      <w:suff w:val="tab"/>
      <w:lvlText w:val="%1.%2.%3."/>
      <w:lvlJc w:val="left"/>
      <w:pPr>
        <w:ind w:left="3182" w:hanging="720"/>
      </w:pPr>
    </w:lvl>
    <w:lvl w:ilvl="3">
      <w:start w:val="1"/>
      <w:numFmt w:val="decimal"/>
      <w:isLgl w:val="false"/>
      <w:suff w:val="tab"/>
      <w:lvlText w:val="%1.%2.%3.%4."/>
      <w:lvlJc w:val="left"/>
      <w:pPr>
        <w:ind w:left="4773" w:hanging="1080"/>
      </w:pPr>
    </w:lvl>
    <w:lvl w:ilvl="4">
      <w:start w:val="1"/>
      <w:numFmt w:val="decimal"/>
      <w:isLgl w:val="false"/>
      <w:suff w:val="tab"/>
      <w:lvlText w:val="%1.%2.%3.%4.%5."/>
      <w:lvlJc w:val="left"/>
      <w:pPr>
        <w:ind w:left="6004" w:hanging="1080"/>
      </w:pPr>
    </w:lvl>
    <w:lvl w:ilvl="5">
      <w:start w:val="1"/>
      <w:numFmt w:val="decimal"/>
      <w:isLgl w:val="false"/>
      <w:suff w:val="tab"/>
      <w:lvlText w:val="%1.%2.%3.%4.%5.%6."/>
      <w:lvlJc w:val="left"/>
      <w:pPr>
        <w:ind w:left="7595" w:hanging="1440"/>
      </w:pPr>
    </w:lvl>
    <w:lvl w:ilvl="6">
      <w:start w:val="1"/>
      <w:numFmt w:val="decimal"/>
      <w:isLgl w:val="false"/>
      <w:suff w:val="tab"/>
      <w:lvlText w:val="%1.%2.%3.%4.%5.%6.%7."/>
      <w:lvlJc w:val="left"/>
      <w:pPr>
        <w:ind w:left="9186" w:hanging="1800"/>
      </w:pPr>
    </w:lvl>
    <w:lvl w:ilvl="7">
      <w:start w:val="1"/>
      <w:numFmt w:val="decimal"/>
      <w:isLgl w:val="false"/>
      <w:suff w:val="tab"/>
      <w:lvlText w:val="%1.%2.%3.%4.%5.%6.%7.%8."/>
      <w:lvlJc w:val="left"/>
      <w:pPr>
        <w:ind w:left="10417" w:hanging="1800"/>
      </w:pPr>
    </w:lvl>
    <w:lvl w:ilvl="8">
      <w:start w:val="1"/>
      <w:numFmt w:val="decimal"/>
      <w:isLgl w:val="false"/>
      <w:suff w:val="tab"/>
      <w:lvlText w:val="%1.%2.%3.%4.%5.%6.%7.%8.%9."/>
      <w:lvlJc w:val="left"/>
      <w:pPr>
        <w:ind w:left="12008" w:hanging="2160"/>
      </w:pPr>
    </w:lvl>
  </w:abstractNum>
  <w:abstractNum w:abstractNumId="39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1637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214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6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58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0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2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4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6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189" w:hanging="180"/>
      </w:pPr>
    </w:lvl>
  </w:abstractNum>
  <w:num w:numId="1">
    <w:abstractNumId w:val="8"/>
  </w:num>
  <w:num w:numId="2">
    <w:abstractNumId w:val="26"/>
  </w:num>
  <w:num w:numId="3">
    <w:abstractNumId w:val="30"/>
  </w:num>
  <w:num w:numId="4">
    <w:abstractNumId w:val="16"/>
  </w:num>
  <w:num w:numId="5">
    <w:abstractNumId w:val="28"/>
  </w:num>
  <w:num w:numId="6">
    <w:abstractNumId w:val="21"/>
  </w:num>
  <w:num w:numId="7">
    <w:abstractNumId w:val="17"/>
  </w:num>
  <w:num w:numId="8">
    <w:abstractNumId w:val="14"/>
  </w:num>
  <w:num w:numId="9">
    <w:abstractNumId w:val="35"/>
  </w:num>
  <w:num w:numId="10">
    <w:abstractNumId w:val="19"/>
  </w:num>
  <w:num w:numId="11">
    <w:abstractNumId w:val="11"/>
  </w:num>
  <w:num w:numId="12">
    <w:abstractNumId w:val="33"/>
  </w:num>
  <w:num w:numId="13">
    <w:abstractNumId w:val="3"/>
  </w:num>
  <w:num w:numId="14">
    <w:abstractNumId w:val="1"/>
  </w:num>
  <w:num w:numId="15">
    <w:abstractNumId w:val="5"/>
  </w:num>
  <w:num w:numId="16">
    <w:abstractNumId w:val="12"/>
  </w:num>
  <w:num w:numId="17">
    <w:abstractNumId w:val="24"/>
  </w:num>
  <w:num w:numId="18">
    <w:abstractNumId w:val="25"/>
  </w:num>
  <w:num w:numId="19">
    <w:abstractNumId w:val="22"/>
  </w:num>
  <w:num w:numId="20">
    <w:abstractNumId w:val="20"/>
  </w:num>
  <w:num w:numId="21">
    <w:abstractNumId w:val="31"/>
  </w:num>
  <w:num w:numId="22">
    <w:abstractNumId w:val="32"/>
  </w:num>
  <w:num w:numId="23">
    <w:abstractNumId w:val="2"/>
  </w:num>
  <w:num w:numId="24">
    <w:abstractNumId w:val="10"/>
  </w:num>
  <w:num w:numId="25">
    <w:abstractNumId w:val="6"/>
  </w:num>
  <w:num w:numId="26">
    <w:abstractNumId w:val="13"/>
  </w:num>
  <w:num w:numId="27">
    <w:abstractNumId w:val="7"/>
  </w:num>
  <w:num w:numId="28">
    <w:abstractNumId w:val="23"/>
  </w:num>
  <w:num w:numId="29">
    <w:abstractNumId w:val="4"/>
  </w:num>
  <w:num w:numId="30">
    <w:abstractNumId w:val="34"/>
  </w:num>
  <w:num w:numId="31">
    <w:abstractNumId w:val="29"/>
  </w:num>
  <w:num w:numId="32">
    <w:abstractNumId w:val="27"/>
  </w:num>
  <w:num w:numId="33">
    <w:abstractNumId w:val="15"/>
  </w:num>
  <w:num w:numId="34">
    <w:abstractNumId w:val="9"/>
  </w:num>
  <w:num w:numId="35">
    <w:abstractNumId w:val="0"/>
  </w:num>
  <w:num w:numId="36">
    <w:abstractNumId w:val="18"/>
  </w:num>
  <w:num w:numId="37">
    <w:abstractNumId w:val="36"/>
  </w:num>
  <w:num w:numId="38">
    <w:abstractNumId w:val="37"/>
  </w:num>
  <w:num w:numId="39">
    <w:abstractNumId w:val="38"/>
  </w:num>
  <w:num w:numId="4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787">
    <w:name w:val="Heading 1 Char"/>
    <w:basedOn w:val="958"/>
    <w:link w:val="955"/>
    <w:uiPriority w:val="9"/>
    <w:rPr>
      <w:rFonts w:ascii="Arial" w:hAnsi="Arial" w:eastAsia="Arial" w:cs="Arial"/>
      <w:sz w:val="40"/>
      <w:szCs w:val="40"/>
    </w:rPr>
  </w:style>
  <w:style w:type="character" w:styleId="788">
    <w:name w:val="Heading 2 Char"/>
    <w:basedOn w:val="958"/>
    <w:link w:val="956"/>
    <w:uiPriority w:val="9"/>
    <w:rPr>
      <w:rFonts w:ascii="Arial" w:hAnsi="Arial" w:eastAsia="Arial" w:cs="Arial"/>
      <w:sz w:val="34"/>
    </w:rPr>
  </w:style>
  <w:style w:type="character" w:styleId="789">
    <w:name w:val="Heading 3 Char"/>
    <w:basedOn w:val="958"/>
    <w:link w:val="957"/>
    <w:uiPriority w:val="9"/>
    <w:rPr>
      <w:rFonts w:ascii="Arial" w:hAnsi="Arial" w:eastAsia="Arial" w:cs="Arial"/>
      <w:sz w:val="30"/>
      <w:szCs w:val="30"/>
    </w:rPr>
  </w:style>
  <w:style w:type="paragraph" w:styleId="790">
    <w:name w:val="Heading 4"/>
    <w:basedOn w:val="954"/>
    <w:next w:val="954"/>
    <w:link w:val="79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791">
    <w:name w:val="Heading 4 Char"/>
    <w:basedOn w:val="958"/>
    <w:link w:val="790"/>
    <w:uiPriority w:val="9"/>
    <w:rPr>
      <w:rFonts w:ascii="Arial" w:hAnsi="Arial" w:eastAsia="Arial" w:cs="Arial"/>
      <w:b/>
      <w:bCs/>
      <w:sz w:val="26"/>
      <w:szCs w:val="26"/>
    </w:rPr>
  </w:style>
  <w:style w:type="paragraph" w:styleId="792">
    <w:name w:val="Heading 5"/>
    <w:basedOn w:val="954"/>
    <w:next w:val="954"/>
    <w:link w:val="79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793">
    <w:name w:val="Heading 5 Char"/>
    <w:basedOn w:val="958"/>
    <w:link w:val="792"/>
    <w:uiPriority w:val="9"/>
    <w:rPr>
      <w:rFonts w:ascii="Arial" w:hAnsi="Arial" w:eastAsia="Arial" w:cs="Arial"/>
      <w:b/>
      <w:bCs/>
      <w:sz w:val="24"/>
      <w:szCs w:val="24"/>
    </w:rPr>
  </w:style>
  <w:style w:type="paragraph" w:styleId="794">
    <w:name w:val="Heading 6"/>
    <w:basedOn w:val="954"/>
    <w:next w:val="954"/>
    <w:link w:val="79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795">
    <w:name w:val="Heading 6 Char"/>
    <w:basedOn w:val="958"/>
    <w:link w:val="794"/>
    <w:uiPriority w:val="9"/>
    <w:rPr>
      <w:rFonts w:ascii="Arial" w:hAnsi="Arial" w:eastAsia="Arial" w:cs="Arial"/>
      <w:b/>
      <w:bCs/>
      <w:sz w:val="22"/>
      <w:szCs w:val="22"/>
    </w:rPr>
  </w:style>
  <w:style w:type="paragraph" w:styleId="796">
    <w:name w:val="Heading 7"/>
    <w:basedOn w:val="954"/>
    <w:next w:val="954"/>
    <w:link w:val="79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97">
    <w:name w:val="Heading 7 Char"/>
    <w:basedOn w:val="958"/>
    <w:link w:val="79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798">
    <w:name w:val="Heading 8"/>
    <w:basedOn w:val="954"/>
    <w:next w:val="954"/>
    <w:link w:val="79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799">
    <w:name w:val="Heading 8 Char"/>
    <w:basedOn w:val="958"/>
    <w:link w:val="798"/>
    <w:uiPriority w:val="9"/>
    <w:rPr>
      <w:rFonts w:ascii="Arial" w:hAnsi="Arial" w:eastAsia="Arial" w:cs="Arial"/>
      <w:i/>
      <w:iCs/>
      <w:sz w:val="22"/>
      <w:szCs w:val="22"/>
    </w:rPr>
  </w:style>
  <w:style w:type="paragraph" w:styleId="800">
    <w:name w:val="Heading 9"/>
    <w:basedOn w:val="954"/>
    <w:next w:val="954"/>
    <w:link w:val="80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801">
    <w:name w:val="Heading 9 Char"/>
    <w:basedOn w:val="958"/>
    <w:link w:val="800"/>
    <w:uiPriority w:val="9"/>
    <w:rPr>
      <w:rFonts w:ascii="Arial" w:hAnsi="Arial" w:eastAsia="Arial" w:cs="Arial"/>
      <w:i/>
      <w:iCs/>
      <w:sz w:val="21"/>
      <w:szCs w:val="21"/>
    </w:rPr>
  </w:style>
  <w:style w:type="paragraph" w:styleId="802">
    <w:name w:val="Title"/>
    <w:basedOn w:val="954"/>
    <w:next w:val="954"/>
    <w:link w:val="803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803">
    <w:name w:val="Title Char"/>
    <w:basedOn w:val="958"/>
    <w:link w:val="802"/>
    <w:uiPriority w:val="10"/>
    <w:rPr>
      <w:sz w:val="48"/>
      <w:szCs w:val="48"/>
    </w:rPr>
  </w:style>
  <w:style w:type="paragraph" w:styleId="804">
    <w:name w:val="Subtitle"/>
    <w:basedOn w:val="954"/>
    <w:next w:val="954"/>
    <w:link w:val="805"/>
    <w:uiPriority w:val="11"/>
    <w:qFormat/>
    <w:pPr>
      <w:spacing w:before="200" w:after="200"/>
    </w:pPr>
    <w:rPr>
      <w:sz w:val="24"/>
      <w:szCs w:val="24"/>
    </w:rPr>
  </w:style>
  <w:style w:type="character" w:styleId="805">
    <w:name w:val="Subtitle Char"/>
    <w:basedOn w:val="958"/>
    <w:link w:val="804"/>
    <w:uiPriority w:val="11"/>
    <w:rPr>
      <w:sz w:val="24"/>
      <w:szCs w:val="24"/>
    </w:rPr>
  </w:style>
  <w:style w:type="paragraph" w:styleId="806">
    <w:name w:val="Quote"/>
    <w:basedOn w:val="954"/>
    <w:next w:val="954"/>
    <w:link w:val="807"/>
    <w:uiPriority w:val="29"/>
    <w:qFormat/>
    <w:pPr>
      <w:ind w:left="720" w:right="720"/>
    </w:pPr>
    <w:rPr>
      <w:i/>
    </w:rPr>
  </w:style>
  <w:style w:type="character" w:styleId="807">
    <w:name w:val="Quote Char"/>
    <w:link w:val="806"/>
    <w:uiPriority w:val="29"/>
    <w:rPr>
      <w:i/>
    </w:rPr>
  </w:style>
  <w:style w:type="paragraph" w:styleId="808">
    <w:name w:val="Intense Quote"/>
    <w:basedOn w:val="954"/>
    <w:next w:val="954"/>
    <w:link w:val="809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809">
    <w:name w:val="Intense Quote Char"/>
    <w:link w:val="808"/>
    <w:uiPriority w:val="30"/>
    <w:rPr>
      <w:i/>
    </w:rPr>
  </w:style>
  <w:style w:type="character" w:styleId="810">
    <w:name w:val="Header Char"/>
    <w:basedOn w:val="958"/>
    <w:link w:val="965"/>
    <w:uiPriority w:val="99"/>
  </w:style>
  <w:style w:type="character" w:styleId="811">
    <w:name w:val="Footer Char"/>
    <w:basedOn w:val="958"/>
    <w:link w:val="991"/>
    <w:uiPriority w:val="99"/>
  </w:style>
  <w:style w:type="paragraph" w:styleId="812">
    <w:name w:val="Caption"/>
    <w:basedOn w:val="954"/>
    <w:next w:val="954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813">
    <w:name w:val="Caption Char"/>
    <w:basedOn w:val="812"/>
    <w:link w:val="991"/>
    <w:uiPriority w:val="99"/>
  </w:style>
  <w:style w:type="table" w:styleId="814">
    <w:name w:val="Table Grid Light"/>
    <w:basedOn w:val="95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815">
    <w:name w:val="Plain Table 1"/>
    <w:basedOn w:val="95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816">
    <w:name w:val="Plain Table 2"/>
    <w:basedOn w:val="959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817">
    <w:name w:val="Plain Table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818">
    <w:name w:val="Plain Table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9">
    <w:name w:val="Plain Table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820">
    <w:name w:val="Grid Table 1 Light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1">
    <w:name w:val="Grid Table 1 Light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2">
    <w:name w:val="Grid Table 1 Light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3">
    <w:name w:val="Grid Table 1 Light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4">
    <w:name w:val="Grid Table 1 Light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5">
    <w:name w:val="Grid Table 1 Light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6">
    <w:name w:val="Grid Table 1 Light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7">
    <w:name w:val="Grid Table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8">
    <w:name w:val="Grid Table 2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9">
    <w:name w:val="Grid Table 2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0">
    <w:name w:val="Grid Table 2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1">
    <w:name w:val="Grid Table 2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2">
    <w:name w:val="Grid Table 2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3">
    <w:name w:val="Grid Table 2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4">
    <w:name w:val="Grid Table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5">
    <w:name w:val="Grid Table 3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6">
    <w:name w:val="Grid Table 3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7">
    <w:name w:val="Grid Table 3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8">
    <w:name w:val="Grid Table 3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9">
    <w:name w:val="Grid Table 3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0">
    <w:name w:val="Grid Table 3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1">
    <w:name w:val="Grid Table 4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842">
    <w:name w:val="Grid Table 4 - Accent 1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843">
    <w:name w:val="Grid Table 4 - Accent 2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844">
    <w:name w:val="Grid Table 4 - Accent 3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45">
    <w:name w:val="Grid Table 4 - Accent 4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46">
    <w:name w:val="Grid Table 4 - Accent 5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47">
    <w:name w:val="Grid Table 4 - Accent 6"/>
    <w:basedOn w:val="95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48">
    <w:name w:val="Grid Table 5 Dark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9">
    <w:name w:val="Grid Table 5 Dark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50">
    <w:name w:val="Grid Table 5 Dark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51">
    <w:name w:val="Grid Table 5 Dark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52">
    <w:name w:val="Grid Table 5 Dark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53">
    <w:name w:val="Grid Table 5 Dark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54">
    <w:name w:val="Grid Table 5 Dark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855">
    <w:name w:val="Grid Table 6 Colorful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56">
    <w:name w:val="Grid Table 6 Colorful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857">
    <w:name w:val="Grid Table 6 Colorful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858">
    <w:name w:val="Grid Table 6 Colorful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859">
    <w:name w:val="Grid Table 6 Colorful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860">
    <w:name w:val="Grid Table 6 Colorful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61">
    <w:name w:val="Grid Table 6 Colorful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62">
    <w:name w:val="Grid Table 7 Colorful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3">
    <w:name w:val="Grid Table 7 Colorful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4">
    <w:name w:val="Grid Table 7 Colorful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5">
    <w:name w:val="Grid Table 7 Colorful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6">
    <w:name w:val="Grid Table 7 Colorful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7">
    <w:name w:val="Grid Table 7 Colorful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8">
    <w:name w:val="Grid Table 7 Colorful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9">
    <w:name w:val="List Table 1 Light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0">
    <w:name w:val="List Table 1 Light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1">
    <w:name w:val="List Table 1 Light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2">
    <w:name w:val="List Table 1 Light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3">
    <w:name w:val="List Table 1 Light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4">
    <w:name w:val="List Table 1 Light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5">
    <w:name w:val="List Table 1 Light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76">
    <w:name w:val="List Table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877">
    <w:name w:val="List Table 2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878">
    <w:name w:val="List Table 2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879">
    <w:name w:val="List Table 2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880">
    <w:name w:val="List Table 2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81">
    <w:name w:val="List Table 2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82">
    <w:name w:val="List Table 2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83">
    <w:name w:val="List Table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4">
    <w:name w:val="List Table 3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5">
    <w:name w:val="List Table 3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6">
    <w:name w:val="List Table 3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7">
    <w:name w:val="List Table 3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8">
    <w:name w:val="List Table 3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9">
    <w:name w:val="List Table 3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0">
    <w:name w:val="List Table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1">
    <w:name w:val="List Table 4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2">
    <w:name w:val="List Table 4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3">
    <w:name w:val="List Table 4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4">
    <w:name w:val="List Table 4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5">
    <w:name w:val="List Table 4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6">
    <w:name w:val="List Table 4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97">
    <w:name w:val="List Table 5 Dark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8">
    <w:name w:val="List Table 5 Dark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9">
    <w:name w:val="List Table 5 Dark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00">
    <w:name w:val="List Table 5 Dark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01">
    <w:name w:val="List Table 5 Dark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02">
    <w:name w:val="List Table 5 Dark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03">
    <w:name w:val="List Table 5 Dark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904">
    <w:name w:val="List Table 6 Colorful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905">
    <w:name w:val="List Table 6 Colorful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906">
    <w:name w:val="List Table 6 Colorful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907">
    <w:name w:val="List Table 6 Colorful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908">
    <w:name w:val="List Table 6 Colorful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909">
    <w:name w:val="List Table 6 Colorful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910">
    <w:name w:val="List Table 6 Colorful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911">
    <w:name w:val="List Table 7 Colorful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912">
    <w:name w:val="List Table 7 Colorful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913">
    <w:name w:val="List Table 7 Colorful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914">
    <w:name w:val="List Table 7 Colorful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915">
    <w:name w:val="List Table 7 Colorful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916">
    <w:name w:val="List Table 7 Colorful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917">
    <w:name w:val="List Table 7 Colorful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918">
    <w:name w:val="Lined - Accent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19">
    <w:name w:val="Lined - Accent 1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920">
    <w:name w:val="Lined - Accent 2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921">
    <w:name w:val="Lined - Accent 3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922">
    <w:name w:val="Lined - Accent 4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923">
    <w:name w:val="Lined - Accent 5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924">
    <w:name w:val="Lined - Accent 6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925">
    <w:name w:val="Bordered &amp; Lined - Accent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26">
    <w:name w:val="Bordered &amp; Lined - Accent 1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927">
    <w:name w:val="Bordered &amp; Lined - Accent 2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928">
    <w:name w:val="Bordered &amp; Lined - Accent 3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929">
    <w:name w:val="Bordered &amp; Lined - Accent 4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930">
    <w:name w:val="Bordered &amp; Lined - Accent 5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931">
    <w:name w:val="Bordered &amp; Lined - Accent 6"/>
    <w:basedOn w:val="95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932">
    <w:name w:val="Bordered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933">
    <w:name w:val="Bordered - Accent 1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934">
    <w:name w:val="Bordered - Accent 2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935">
    <w:name w:val="Bordered - Accent 3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936">
    <w:name w:val="Bordered - Accent 4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937">
    <w:name w:val="Bordered - Accent 5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938">
    <w:name w:val="Bordered - Accent 6"/>
    <w:basedOn w:val="95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939">
    <w:name w:val="Footnote Text Char"/>
    <w:link w:val="972"/>
    <w:uiPriority w:val="99"/>
    <w:rPr>
      <w:sz w:val="18"/>
    </w:rPr>
  </w:style>
  <w:style w:type="paragraph" w:styleId="940">
    <w:name w:val="endnote text"/>
    <w:basedOn w:val="954"/>
    <w:link w:val="941"/>
    <w:uiPriority w:val="99"/>
    <w:semiHidden/>
    <w:unhideWhenUsed/>
    <w:pPr>
      <w:spacing w:after="0" w:line="240" w:lineRule="auto"/>
    </w:pPr>
    <w:rPr>
      <w:sz w:val="20"/>
    </w:rPr>
  </w:style>
  <w:style w:type="character" w:styleId="941">
    <w:name w:val="Endnote Text Char"/>
    <w:link w:val="940"/>
    <w:uiPriority w:val="99"/>
    <w:rPr>
      <w:sz w:val="20"/>
    </w:rPr>
  </w:style>
  <w:style w:type="character" w:styleId="942">
    <w:name w:val="endnote reference"/>
    <w:basedOn w:val="958"/>
    <w:uiPriority w:val="99"/>
    <w:semiHidden/>
    <w:unhideWhenUsed/>
    <w:rPr>
      <w:vertAlign w:val="superscript"/>
    </w:rPr>
  </w:style>
  <w:style w:type="paragraph" w:styleId="943">
    <w:name w:val="toc 1"/>
    <w:basedOn w:val="954"/>
    <w:next w:val="954"/>
    <w:uiPriority w:val="39"/>
    <w:unhideWhenUsed/>
    <w:pPr>
      <w:ind w:left="0" w:right="0" w:firstLine="0"/>
      <w:spacing w:after="57"/>
    </w:pPr>
  </w:style>
  <w:style w:type="paragraph" w:styleId="944">
    <w:name w:val="toc 2"/>
    <w:basedOn w:val="954"/>
    <w:next w:val="954"/>
    <w:uiPriority w:val="39"/>
    <w:unhideWhenUsed/>
    <w:pPr>
      <w:ind w:left="283" w:right="0" w:firstLine="0"/>
      <w:spacing w:after="57"/>
    </w:pPr>
  </w:style>
  <w:style w:type="paragraph" w:styleId="945">
    <w:name w:val="toc 3"/>
    <w:basedOn w:val="954"/>
    <w:next w:val="954"/>
    <w:uiPriority w:val="39"/>
    <w:unhideWhenUsed/>
    <w:pPr>
      <w:ind w:left="567" w:right="0" w:firstLine="0"/>
      <w:spacing w:after="57"/>
    </w:pPr>
  </w:style>
  <w:style w:type="paragraph" w:styleId="946">
    <w:name w:val="toc 4"/>
    <w:basedOn w:val="954"/>
    <w:next w:val="954"/>
    <w:uiPriority w:val="39"/>
    <w:unhideWhenUsed/>
    <w:pPr>
      <w:ind w:left="850" w:right="0" w:firstLine="0"/>
      <w:spacing w:after="57"/>
    </w:pPr>
  </w:style>
  <w:style w:type="paragraph" w:styleId="947">
    <w:name w:val="toc 5"/>
    <w:basedOn w:val="954"/>
    <w:next w:val="954"/>
    <w:uiPriority w:val="39"/>
    <w:unhideWhenUsed/>
    <w:pPr>
      <w:ind w:left="1134" w:right="0" w:firstLine="0"/>
      <w:spacing w:after="57"/>
    </w:pPr>
  </w:style>
  <w:style w:type="paragraph" w:styleId="948">
    <w:name w:val="toc 6"/>
    <w:basedOn w:val="954"/>
    <w:next w:val="954"/>
    <w:uiPriority w:val="39"/>
    <w:unhideWhenUsed/>
    <w:pPr>
      <w:ind w:left="1417" w:right="0" w:firstLine="0"/>
      <w:spacing w:after="57"/>
    </w:pPr>
  </w:style>
  <w:style w:type="paragraph" w:styleId="949">
    <w:name w:val="toc 7"/>
    <w:basedOn w:val="954"/>
    <w:next w:val="954"/>
    <w:uiPriority w:val="39"/>
    <w:unhideWhenUsed/>
    <w:pPr>
      <w:ind w:left="1701" w:right="0" w:firstLine="0"/>
      <w:spacing w:after="57"/>
    </w:pPr>
  </w:style>
  <w:style w:type="paragraph" w:styleId="950">
    <w:name w:val="toc 8"/>
    <w:basedOn w:val="954"/>
    <w:next w:val="954"/>
    <w:uiPriority w:val="39"/>
    <w:unhideWhenUsed/>
    <w:pPr>
      <w:ind w:left="1984" w:right="0" w:firstLine="0"/>
      <w:spacing w:after="57"/>
    </w:pPr>
  </w:style>
  <w:style w:type="paragraph" w:styleId="951">
    <w:name w:val="toc 9"/>
    <w:basedOn w:val="954"/>
    <w:next w:val="954"/>
    <w:uiPriority w:val="39"/>
    <w:unhideWhenUsed/>
    <w:pPr>
      <w:ind w:left="2268" w:right="0" w:firstLine="0"/>
      <w:spacing w:after="57"/>
    </w:pPr>
  </w:style>
  <w:style w:type="paragraph" w:styleId="952">
    <w:name w:val="TOC Heading"/>
    <w:uiPriority w:val="39"/>
    <w:unhideWhenUsed/>
  </w:style>
  <w:style w:type="paragraph" w:styleId="953">
    <w:name w:val="table of figures"/>
    <w:basedOn w:val="954"/>
    <w:next w:val="954"/>
    <w:uiPriority w:val="99"/>
    <w:unhideWhenUsed/>
    <w:pPr>
      <w:spacing w:after="0" w:afterAutospacing="0"/>
    </w:pPr>
  </w:style>
  <w:style w:type="paragraph" w:styleId="954" w:default="1">
    <w:name w:val="Normal"/>
    <w:qFormat/>
    <w:pPr>
      <w:contextualSpacing/>
      <w:ind w:firstLine="708"/>
      <w:jc w:val="both"/>
      <w:spacing w:line="240" w:lineRule="auto"/>
    </w:pPr>
    <w:rPr>
      <w:rFonts w:ascii="Times New Roman" w:hAnsi="Times New Roman" w:eastAsia="Calibri" w:cs="Times New Roman"/>
      <w:b/>
      <w:bCs/>
      <w:color w:val="000000"/>
      <w:sz w:val="28"/>
      <w:szCs w:val="28"/>
      <w:shd w:val="clear" w:color="ffffff" w:themeColor="background1" w:fill="ffffff" w:themeFill="background1"/>
    </w:rPr>
  </w:style>
  <w:style w:type="paragraph" w:styleId="955">
    <w:name w:val="Heading 1"/>
    <w:basedOn w:val="954"/>
    <w:link w:val="961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hAnsi="Times New Roman" w:eastAsia="Times New Roman" w:cs="Times New Roman"/>
      <w:b/>
      <w:bCs/>
      <w:sz w:val="48"/>
      <w:szCs w:val="48"/>
      <w:lang w:eastAsia="ru-RU"/>
    </w:rPr>
  </w:style>
  <w:style w:type="paragraph" w:styleId="956">
    <w:name w:val="Heading 2"/>
    <w:basedOn w:val="954"/>
    <w:next w:val="954"/>
    <w:link w:val="978"/>
    <w:uiPriority w:val="9"/>
    <w:unhideWhenUsed/>
    <w:qFormat/>
    <w:pPr>
      <w:keepLines/>
      <w:keepNext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957">
    <w:name w:val="Heading 3"/>
    <w:basedOn w:val="954"/>
    <w:next w:val="954"/>
    <w:link w:val="999"/>
    <w:uiPriority w:val="9"/>
    <w:semiHidden/>
    <w:unhideWhenUsed/>
    <w:qFormat/>
    <w:pPr>
      <w:keepLines/>
      <w:keepNext/>
      <w:spacing w:before="40" w:after="0"/>
      <w:outlineLvl w:val="2"/>
    </w:pPr>
    <w:rPr>
      <w:rFonts w:asciiTheme="majorHAnsi" w:hAnsiTheme="majorHAnsi" w:eastAsiaTheme="majorEastAsia" w:cstheme="majorBidi"/>
      <w:color w:val="243f60" w:themeColor="accent1" w:themeShade="7F"/>
      <w:sz w:val="24"/>
      <w:szCs w:val="24"/>
    </w:rPr>
  </w:style>
  <w:style w:type="character" w:styleId="958" w:default="1">
    <w:name w:val="Default Paragraph Font"/>
    <w:uiPriority w:val="1"/>
    <w:semiHidden/>
    <w:unhideWhenUsed/>
  </w:style>
  <w:style w:type="table" w:styleId="959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960" w:default="1">
    <w:name w:val="No List"/>
    <w:uiPriority w:val="99"/>
    <w:semiHidden/>
    <w:unhideWhenUsed/>
  </w:style>
  <w:style w:type="character" w:styleId="961" w:customStyle="1">
    <w:name w:val="Заголовок 1 Знак"/>
    <w:basedOn w:val="958"/>
    <w:link w:val="955"/>
    <w:uiPriority w:val="9"/>
    <w:rPr>
      <w:rFonts w:ascii="Times New Roman" w:hAnsi="Times New Roman" w:eastAsia="Times New Roman" w:cs="Times New Roman"/>
      <w:b/>
      <w:bCs/>
      <w:sz w:val="48"/>
      <w:szCs w:val="48"/>
      <w:lang w:eastAsia="ru-RU"/>
    </w:rPr>
  </w:style>
  <w:style w:type="paragraph" w:styleId="962" w:customStyle="1">
    <w:name w:val="ConsPlusNormal"/>
    <w:link w:val="963"/>
    <w:pPr>
      <w:ind w:firstLine="720"/>
      <w:spacing w:after="0" w:line="240" w:lineRule="auto"/>
      <w:widowControl w:val="off"/>
    </w:pPr>
    <w:rPr>
      <w:rFonts w:ascii="Arial" w:hAnsi="Arial" w:eastAsia="Times New Roman" w:cs="Arial"/>
      <w:sz w:val="20"/>
      <w:szCs w:val="20"/>
      <w:lang w:eastAsia="ru-RU"/>
    </w:rPr>
  </w:style>
  <w:style w:type="character" w:styleId="963" w:customStyle="1">
    <w:name w:val="ConsPlusNormal Знак"/>
    <w:basedOn w:val="958"/>
    <w:link w:val="962"/>
    <w:rPr>
      <w:rFonts w:ascii="Arial" w:hAnsi="Arial" w:eastAsia="Times New Roman" w:cs="Arial"/>
      <w:sz w:val="20"/>
      <w:szCs w:val="20"/>
      <w:lang w:eastAsia="ru-RU"/>
    </w:rPr>
  </w:style>
  <w:style w:type="character" w:styleId="964">
    <w:name w:val="Hyperlink"/>
    <w:basedOn w:val="958"/>
    <w:unhideWhenUsed/>
    <w:rPr>
      <w:color w:val="0000ff"/>
      <w:u w:val="single"/>
    </w:rPr>
  </w:style>
  <w:style w:type="paragraph" w:styleId="965">
    <w:name w:val="Header"/>
    <w:basedOn w:val="954"/>
    <w:link w:val="966"/>
    <w:uiPriority w:val="99"/>
    <w:pPr>
      <w:spacing w:after="0" w:line="240" w:lineRule="auto"/>
      <w:tabs>
        <w:tab w:val="center" w:pos="4677" w:leader="none"/>
        <w:tab w:val="right" w:pos="9355" w:leader="none"/>
      </w:tabs>
    </w:pPr>
    <w:rPr>
      <w:rFonts w:ascii="Times New Roman" w:hAnsi="Times New Roman" w:eastAsia="Calibri" w:cs="Times New Roman"/>
      <w:bCs/>
      <w:color w:val="000000"/>
      <w:sz w:val="24"/>
      <w:szCs w:val="24"/>
      <w:lang w:eastAsia="ru-RU"/>
    </w:rPr>
  </w:style>
  <w:style w:type="character" w:styleId="966" w:customStyle="1">
    <w:name w:val="Верхний колонтитул Знак"/>
    <w:basedOn w:val="958"/>
    <w:link w:val="965"/>
    <w:uiPriority w:val="99"/>
    <w:rPr>
      <w:rFonts w:ascii="Times New Roman" w:hAnsi="Times New Roman" w:eastAsia="Calibri" w:cs="Times New Roman"/>
      <w:bCs/>
      <w:color w:val="000000"/>
      <w:sz w:val="24"/>
      <w:szCs w:val="24"/>
      <w:lang w:eastAsia="ru-RU"/>
    </w:rPr>
  </w:style>
  <w:style w:type="character" w:styleId="967" w:customStyle="1">
    <w:name w:val="title1"/>
    <w:basedOn w:val="958"/>
  </w:style>
  <w:style w:type="paragraph" w:styleId="968">
    <w:name w:val="Balloon Text"/>
    <w:basedOn w:val="954"/>
    <w:link w:val="969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969" w:customStyle="1">
    <w:name w:val="Текст выноски Знак"/>
    <w:basedOn w:val="958"/>
    <w:link w:val="968"/>
    <w:uiPriority w:val="99"/>
    <w:semiHidden/>
    <w:rPr>
      <w:rFonts w:ascii="Tahoma" w:hAnsi="Tahoma" w:cs="Tahoma"/>
      <w:sz w:val="16"/>
      <w:szCs w:val="16"/>
    </w:rPr>
  </w:style>
  <w:style w:type="paragraph" w:styleId="970">
    <w:name w:val="Normal (Web)"/>
    <w:basedOn w:val="954"/>
    <w:uiPriority w:val="99"/>
    <w:unhideWhenUsed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971">
    <w:name w:val="Table Grid"/>
    <w:basedOn w:val="959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972">
    <w:name w:val="footnote text"/>
    <w:basedOn w:val="954"/>
    <w:link w:val="973"/>
    <w:uiPriority w:val="99"/>
    <w:unhideWhenUsed/>
    <w:pPr>
      <w:spacing w:after="0" w:line="240" w:lineRule="auto"/>
    </w:pPr>
    <w:rPr>
      <w:sz w:val="20"/>
      <w:szCs w:val="20"/>
    </w:rPr>
  </w:style>
  <w:style w:type="character" w:styleId="973" w:customStyle="1">
    <w:name w:val="Текст сноски Знак"/>
    <w:basedOn w:val="958"/>
    <w:link w:val="972"/>
    <w:uiPriority w:val="99"/>
    <w:rPr>
      <w:sz w:val="20"/>
      <w:szCs w:val="20"/>
    </w:rPr>
  </w:style>
  <w:style w:type="character" w:styleId="974">
    <w:name w:val="footnote reference"/>
    <w:basedOn w:val="958"/>
    <w:uiPriority w:val="99"/>
    <w:unhideWhenUsed/>
    <w:rPr>
      <w:vertAlign w:val="superscript"/>
    </w:rPr>
  </w:style>
  <w:style w:type="paragraph" w:styleId="975">
    <w:name w:val="List Paragraph"/>
    <w:basedOn w:val="954"/>
    <w:uiPriority w:val="34"/>
    <w:qFormat/>
    <w:pPr>
      <w:contextualSpacing/>
      <w:ind w:left="720"/>
      <w:spacing w:after="160" w:line="259" w:lineRule="auto"/>
    </w:pPr>
  </w:style>
  <w:style w:type="paragraph" w:styleId="976">
    <w:name w:val="Body Text"/>
    <w:basedOn w:val="954"/>
    <w:link w:val="977"/>
    <w:uiPriority w:val="1"/>
    <w:qFormat/>
    <w:pPr>
      <w:spacing w:after="0" w:line="240" w:lineRule="auto"/>
      <w:widowControl w:val="off"/>
    </w:pPr>
    <w:rPr>
      <w:rFonts w:ascii="Times New Roman" w:hAnsi="Times New Roman" w:eastAsia="Times New Roman" w:cs="Times New Roman"/>
      <w:sz w:val="28"/>
      <w:szCs w:val="28"/>
    </w:rPr>
  </w:style>
  <w:style w:type="character" w:styleId="977" w:customStyle="1">
    <w:name w:val="Основной текст Знак"/>
    <w:basedOn w:val="958"/>
    <w:link w:val="976"/>
    <w:uiPriority w:val="1"/>
    <w:rPr>
      <w:rFonts w:ascii="Times New Roman" w:hAnsi="Times New Roman" w:eastAsia="Times New Roman" w:cs="Times New Roman"/>
      <w:sz w:val="28"/>
      <w:szCs w:val="28"/>
    </w:rPr>
  </w:style>
  <w:style w:type="character" w:styleId="978" w:customStyle="1">
    <w:name w:val="Заголовок 2 Знак"/>
    <w:basedOn w:val="958"/>
    <w:link w:val="956"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979" w:customStyle="1">
    <w:name w:val="Абзац списка1"/>
    <w:basedOn w:val="954"/>
    <w:pPr>
      <w:contextualSpacing/>
      <w:ind w:left="720"/>
      <w:spacing w:after="0" w:line="240" w:lineRule="auto"/>
    </w:pPr>
    <w:rPr>
      <w:rFonts w:ascii="Times New Roman" w:hAnsi="Times New Roman" w:eastAsia="Calibri" w:cs="Times New Roman"/>
      <w:sz w:val="24"/>
      <w:szCs w:val="24"/>
      <w:lang w:eastAsia="ru-RU"/>
    </w:rPr>
  </w:style>
  <w:style w:type="character" w:styleId="980">
    <w:name w:val="Strong"/>
    <w:basedOn w:val="958"/>
    <w:uiPriority w:val="22"/>
    <w:qFormat/>
    <w:rPr>
      <w:b/>
      <w:bCs/>
    </w:rPr>
  </w:style>
  <w:style w:type="character" w:styleId="981" w:customStyle="1">
    <w:name w:val="news__arrowdesktop"/>
    <w:basedOn w:val="958"/>
  </w:style>
  <w:style w:type="paragraph" w:styleId="982" w:customStyle="1">
    <w:name w:val="align_center"/>
    <w:basedOn w:val="95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83" w:customStyle="1">
    <w:name w:val="no-indent"/>
    <w:basedOn w:val="95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84">
    <w:name w:val="No Spacing"/>
    <w:link w:val="997"/>
    <w:uiPriority w:val="1"/>
    <w:qFormat/>
    <w:pPr>
      <w:spacing w:after="0" w:line="240" w:lineRule="auto"/>
    </w:pPr>
  </w:style>
  <w:style w:type="character" w:styleId="985" w:customStyle="1">
    <w:name w:val="Текст примечания Знак"/>
    <w:basedOn w:val="958"/>
    <w:link w:val="986"/>
    <w:uiPriority w:val="99"/>
    <w:semiHidden/>
    <w:rPr>
      <w:sz w:val="20"/>
      <w:szCs w:val="20"/>
    </w:rPr>
  </w:style>
  <w:style w:type="paragraph" w:styleId="986">
    <w:name w:val="annotation text"/>
    <w:basedOn w:val="954"/>
    <w:link w:val="985"/>
    <w:uiPriority w:val="99"/>
    <w:semiHidden/>
    <w:unhideWhenUsed/>
    <w:pPr>
      <w:spacing w:after="160" w:line="240" w:lineRule="auto"/>
    </w:pPr>
    <w:rPr>
      <w:sz w:val="20"/>
      <w:szCs w:val="20"/>
    </w:rPr>
  </w:style>
  <w:style w:type="character" w:styleId="987" w:customStyle="1">
    <w:name w:val="Текст примечания Знак1"/>
    <w:basedOn w:val="958"/>
    <w:uiPriority w:val="99"/>
    <w:semiHidden/>
    <w:rPr>
      <w:sz w:val="20"/>
      <w:szCs w:val="20"/>
    </w:rPr>
  </w:style>
  <w:style w:type="character" w:styleId="988" w:customStyle="1">
    <w:name w:val="Тема примечания Знак"/>
    <w:basedOn w:val="985"/>
    <w:link w:val="989"/>
    <w:uiPriority w:val="99"/>
    <w:semiHidden/>
    <w:rPr>
      <w:b/>
      <w:bCs/>
      <w:sz w:val="20"/>
      <w:szCs w:val="20"/>
    </w:rPr>
  </w:style>
  <w:style w:type="paragraph" w:styleId="989">
    <w:name w:val="annotation subject"/>
    <w:basedOn w:val="986"/>
    <w:next w:val="986"/>
    <w:link w:val="988"/>
    <w:uiPriority w:val="99"/>
    <w:semiHidden/>
    <w:unhideWhenUsed/>
    <w:rPr>
      <w:b/>
      <w:bCs/>
    </w:rPr>
  </w:style>
  <w:style w:type="character" w:styleId="990" w:customStyle="1">
    <w:name w:val="Тема примечания Знак1"/>
    <w:basedOn w:val="987"/>
    <w:uiPriority w:val="99"/>
    <w:semiHidden/>
    <w:rPr>
      <w:b/>
      <w:bCs/>
      <w:sz w:val="20"/>
      <w:szCs w:val="20"/>
    </w:rPr>
  </w:style>
  <w:style w:type="paragraph" w:styleId="991">
    <w:name w:val="Footer"/>
    <w:basedOn w:val="954"/>
    <w:link w:val="992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992" w:customStyle="1">
    <w:name w:val="Нижний колонтитул Знак"/>
    <w:basedOn w:val="958"/>
    <w:link w:val="991"/>
    <w:uiPriority w:val="99"/>
  </w:style>
  <w:style w:type="paragraph" w:styleId="993" w:customStyle="1">
    <w:name w:val="Style4"/>
    <w:basedOn w:val="954"/>
    <w:uiPriority w:val="99"/>
    <w:pPr>
      <w:ind w:firstLine="845"/>
      <w:jc w:val="both"/>
      <w:spacing w:after="0" w:line="323" w:lineRule="exact"/>
      <w:widowControl w:val="off"/>
    </w:pPr>
    <w:rPr>
      <w:rFonts w:ascii="Times New Roman" w:hAnsi="Times New Roman" w:cs="Times New Roman" w:eastAsiaTheme="minorEastAsia"/>
      <w:sz w:val="24"/>
      <w:szCs w:val="24"/>
      <w:lang w:eastAsia="ru-RU"/>
    </w:rPr>
  </w:style>
  <w:style w:type="character" w:styleId="994" w:customStyle="1">
    <w:name w:val="Font Style20"/>
    <w:basedOn w:val="958"/>
    <w:uiPriority w:val="99"/>
    <w:rPr>
      <w:rFonts w:ascii="Times New Roman" w:hAnsi="Times New Roman" w:cs="Times New Roman"/>
      <w:sz w:val="26"/>
      <w:szCs w:val="26"/>
    </w:rPr>
  </w:style>
  <w:style w:type="paragraph" w:styleId="995" w:customStyle="1">
    <w:name w:val="Style8"/>
    <w:basedOn w:val="954"/>
    <w:uiPriority w:val="99"/>
    <w:pPr>
      <w:jc w:val="both"/>
      <w:spacing w:after="0" w:line="240" w:lineRule="auto"/>
      <w:widowControl w:val="off"/>
    </w:pPr>
    <w:rPr>
      <w:rFonts w:ascii="Times New Roman" w:hAnsi="Times New Roman" w:cs="Times New Roman" w:eastAsiaTheme="minorEastAsia"/>
      <w:sz w:val="24"/>
      <w:szCs w:val="24"/>
      <w:lang w:eastAsia="ru-RU"/>
    </w:rPr>
  </w:style>
  <w:style w:type="paragraph" w:styleId="996" w:customStyle="1">
    <w:name w:val="ConsPlusTitle"/>
    <w:uiPriority w:val="99"/>
    <w:pPr>
      <w:spacing w:after="0" w:line="240" w:lineRule="auto"/>
      <w:widowControl w:val="off"/>
    </w:pPr>
    <w:rPr>
      <w:rFonts w:ascii="Arial" w:hAnsi="Arial" w:eastAsia="Times New Roman" w:cs="Arial"/>
      <w:b/>
      <w:bCs/>
      <w:sz w:val="20"/>
      <w:szCs w:val="20"/>
      <w:lang w:eastAsia="ru-RU"/>
    </w:rPr>
  </w:style>
  <w:style w:type="character" w:styleId="997" w:customStyle="1">
    <w:name w:val="Без интервала Знак"/>
    <w:link w:val="984"/>
    <w:uiPriority w:val="1"/>
  </w:style>
  <w:style w:type="paragraph" w:styleId="998" w:customStyle="1">
    <w:name w:val="Style11"/>
    <w:basedOn w:val="954"/>
    <w:uiPriority w:val="99"/>
    <w:pPr>
      <w:jc w:val="both"/>
      <w:spacing w:after="0" w:line="371" w:lineRule="exact"/>
      <w:widowControl w:val="off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999" w:customStyle="1">
    <w:name w:val="Заголовок 3 Знак"/>
    <w:basedOn w:val="958"/>
    <w:link w:val="957"/>
    <w:uiPriority w:val="9"/>
    <w:semiHidden/>
    <w:rPr>
      <w:rFonts w:asciiTheme="majorHAnsi" w:hAnsiTheme="majorHAnsi" w:eastAsiaTheme="majorEastAsia" w:cstheme="majorBidi"/>
      <w:color w:val="243f60" w:themeColor="accent1" w:themeShade="7F"/>
      <w:sz w:val="24"/>
      <w:szCs w:val="24"/>
    </w:rPr>
  </w:style>
  <w:style w:type="paragraph" w:styleId="1000" w:customStyle="1">
    <w:name w:val="Style17"/>
    <w:basedOn w:val="954"/>
    <w:uiPriority w:val="99"/>
    <w:pPr>
      <w:ind w:firstLine="706"/>
      <w:jc w:val="both"/>
      <w:spacing w:after="0" w:line="370" w:lineRule="exact"/>
      <w:widowControl w:val="off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1001" w:customStyle="1">
    <w:name w:val="u"/>
    <w:basedOn w:val="95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1002" w:customStyle="1">
    <w:name w:val="Сетка таблицы1"/>
    <w:basedOn w:val="959"/>
    <w:next w:val="971"/>
    <w:uiPriority w:val="39"/>
    <w:pPr>
      <w:spacing w:after="0" w:line="240" w:lineRule="auto"/>
    </w:pPr>
    <w:rPr>
      <w:rFonts w:ascii="Calibri" w:hAnsi="Calibri" w:eastAsia="Calibri" w:cs="Times New Roman"/>
      <w:sz w:val="20"/>
      <w:szCs w:val="20"/>
      <w:lang w:eastAsia="ru-RU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1003" w:customStyle="1">
    <w:name w:val="Абзац списка"/>
    <w:uiPriority w:val="34"/>
    <w:qFormat/>
    <w:pPr>
      <w:contextualSpacing/>
      <w:ind w:left="720" w:right="0" w:firstLine="709"/>
      <w:jc w:val="both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Calibri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8"/>
      <w:szCs w:val="28"/>
      <w:highlight w:val="none"/>
      <w:u w:val="none"/>
      <w:vertAlign w:val="baseline"/>
      <w:rtl w:val="0"/>
      <w:cs w:val="0"/>
      <w:lang w:val="ru-RU" w:eastAsia="en-US" w:bidi="ar-SA"/>
      <w14:ligatures w14:val="none"/>
    </w:rPr>
  </w:style>
  <w:style w:type="paragraph" w:styleId="1004" w:customStyle="1">
    <w:name w:val="Обычный (веб)"/>
    <w:uiPriority w:val="99"/>
    <w:unhideWhenUsed/>
    <w:pPr>
      <w:contextualSpacing w:val="0"/>
      <w:ind w:left="0" w:right="0" w:firstLine="0"/>
      <w:jc w:val="left"/>
      <w:keepLines w:val="0"/>
      <w:keepNext w:val="0"/>
      <w:pageBreakBefore w:val="0"/>
      <w:spacing w:before="100" w:beforeAutospacing="1" w:after="100" w:afterAutospacing="1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05" w:customStyle="1">
    <w:name w:val="Текст сноски"/>
    <w:uiPriority w:val="99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en-US" w:eastAsia="ru-RU" w:bidi="ar-SA"/>
      <w14:ligatures w14:val="none"/>
    </w:rPr>
  </w:style>
  <w:style w:type="character" w:styleId="1006" w:customStyle="1">
    <w:name w:val="Знак сноски"/>
    <w:uiPriority w:val="99"/>
    <w:semiHidden/>
    <w:rPr>
      <w:vertAlign w:val="superscript"/>
    </w:rPr>
  </w:style>
  <w:style w:type="paragraph" w:styleId="1007" w:customStyle="1">
    <w:name w:val="Style1"/>
    <w:uiPriority w:val="99"/>
    <w:pPr>
      <w:contextualSpacing w:val="0"/>
      <w:ind w:left="0" w:right="0" w:firstLine="713"/>
      <w:jc w:val="both"/>
      <w:keepLines w:val="0"/>
      <w:keepNext w:val="0"/>
      <w:pageBreakBefore w:val="0"/>
      <w:spacing w:before="0" w:beforeAutospacing="0" w:after="0" w:afterAutospacing="0" w:line="356" w:lineRule="exact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08" w:customStyle="1">
    <w:name w:val="Default"/>
    <w:next w:val="955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Calibri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4"/>
      <w:szCs w:val="24"/>
      <w:highlight w:val="none"/>
      <w:u w:val="none"/>
      <w:vertAlign w:val="baseline"/>
      <w:rtl w:val="0"/>
      <w:cs w:val="0"/>
      <w:lang w:val="ru-RU" w:eastAsia="en-US" w:bidi="ar-SA"/>
      <w14:ligatures w14:val="none"/>
    </w:rPr>
  </w:style>
  <w:style w:type="character" w:styleId="1009" w:customStyle="1">
    <w:name w:val="Гиперссылка"/>
    <w:uiPriority w:val="99"/>
    <w:rPr>
      <w:color w:val="0000ff"/>
      <w:u w:val="single"/>
    </w:rPr>
  </w:style>
  <w:style w:type="paragraph" w:styleId="1010" w:customStyle="1">
    <w:name w:val="Без интервала"/>
    <w:next w:val="864"/>
    <w:link w:val="792"/>
    <w:uiPriority w:val="1"/>
    <w:qFormat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Calibri" w:hAnsi="Calibri" w:eastAsia="Calibri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2"/>
      <w:szCs w:val="22"/>
      <w:highlight w:val="none"/>
      <w:u w:val="none"/>
      <w:vertAlign w:val="baseline"/>
      <w:rtl w:val="0"/>
      <w:cs w:val="0"/>
      <w:lang w:val="ru-RU" w:eastAsia="en-US" w:bidi="ar-SA"/>
      <w14:ligatures w14:val="none"/>
    </w:rPr>
  </w:style>
  <w:style w:type="paragraph" w:styleId="1011" w:customStyle="1">
    <w:name w:val="Заголовок 3"/>
    <w:uiPriority w:val="9"/>
    <w:unhideWhenUsed/>
    <w:qFormat/>
    <w:pPr>
      <w:contextualSpacing w:val="0"/>
      <w:ind w:left="0" w:right="0" w:firstLine="709"/>
      <w:jc w:val="both"/>
      <w:keepLines w:val="0"/>
      <w:keepNext/>
      <w:pageBreakBefore w:val="0"/>
      <w:spacing w:before="240" w:beforeAutospacing="0" w:after="6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outlineLvl w:val="2"/>
      <w:suppressLineNumbers w:val="0"/>
    </w:pPr>
    <w:rPr>
      <w:rFonts w:ascii="Calibri Light" w:hAnsi="Calibri Light" w:eastAsia="Times New Roman" w:cs="Times New Roman"/>
      <w:b/>
      <w:bCs/>
      <w:i w:val="0"/>
      <w:iCs w:val="0"/>
      <w:caps w:val="0"/>
      <w:smallCaps w:val="0"/>
      <w:strike w:val="0"/>
      <w:vanish w:val="0"/>
      <w:color w:val="auto"/>
      <w:spacing w:val="0"/>
      <w:position w:val="0"/>
      <w:sz w:val="26"/>
      <w:szCs w:val="26"/>
      <w:highlight w:val="none"/>
      <w:u w:val="none"/>
      <w:vertAlign w:val="baseline"/>
      <w:rtl w:val="0"/>
      <w:cs w:val="0"/>
      <w:lang w:val="en-US" w:eastAsia="en-US" w:bidi="ar-SA"/>
      <w14:ligatures w14:val="none"/>
    </w:rPr>
  </w:style>
  <w:style w:type="paragraph" w:styleId="1012" w:customStyle="1">
    <w:name w:val="Text body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Calibri" w:cs="Times New Roman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8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1013" w:customStyle="1">
    <w:name w:val="ConsPlusTitlePage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ahoma" w:hAnsi="Tahoma" w:eastAsia="Times New Roman" w:cs="Tahoma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footer" Target="footer1.xml" /><Relationship Id="rId12" Type="http://schemas.openxmlformats.org/officeDocument/2006/relationships/customXml" Target="../customXml/item1.xml" /><Relationship Id="rId13" Type="http://schemas.openxmlformats.org/officeDocument/2006/relationships/image" Target="media/image1.jpg"/><Relationship Id="rId14" Type="http://schemas.openxmlformats.org/officeDocument/2006/relationships/hyperlink" Target="https://www.consultant.ru/document/cons_doc_LAW_507274/" TargetMode="External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hyperlink" Target="http://publication.pravo.gov.ru/document/0001202408080107" TargetMode="External"/><Relationship Id="rId20" Type="http://schemas.openxmlformats.org/officeDocument/2006/relationships/hyperlink" Target="https://rosreestr.gov.ru/press/archive/pravitelstvo-utverdilo-perechen-meropriyatiy-neobkhodimykh-dlya-osvoeniya-zemelnogo-uchastka/" TargetMode="External"/><Relationship Id="rId21" Type="http://schemas.openxmlformats.org/officeDocument/2006/relationships/hyperlink" Target="https://pos.gosuslugi.ru/landing/" TargetMode="External"/><Relationship Id="rId22" Type="http://schemas.openxmlformats.org/officeDocument/2006/relationships/hyperlink" Target="https://rosreestr.gov.ru/feedback/poryadok-rassmotreniya/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D1D05F-EA87-412F-94C7-22C86E3B3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Р7-Офис/2024.3.2.551</Application>
  <Company>Microsoft</Company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ziaa</dc:creator>
  <cp:keywords/>
  <dc:description/>
  <cp:revision>74</cp:revision>
  <dcterms:created xsi:type="dcterms:W3CDTF">2023-01-26T03:20:00Z</dcterms:created>
  <dcterms:modified xsi:type="dcterms:W3CDTF">2025-07-09T03:51:43Z</dcterms:modified>
</cp:coreProperties>
</file>